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4A0" w:firstRow="1" w:lastRow="0" w:firstColumn="1" w:lastColumn="0" w:noHBand="0" w:noVBand="1"/>
      </w:tblPr>
      <w:tblGrid>
        <w:gridCol w:w="3638"/>
        <w:gridCol w:w="5648"/>
      </w:tblGrid>
      <w:tr w:rsidR="00086837" w:rsidRPr="00086837" w14:paraId="676677AE" w14:textId="77777777" w:rsidTr="0068670F">
        <w:trPr>
          <w:jc w:val="center"/>
        </w:trPr>
        <w:tc>
          <w:tcPr>
            <w:tcW w:w="1959" w:type="pct"/>
            <w:tcMar>
              <w:top w:w="0" w:type="dxa"/>
              <w:left w:w="108" w:type="dxa"/>
              <w:bottom w:w="0" w:type="dxa"/>
              <w:right w:w="108" w:type="dxa"/>
            </w:tcMar>
          </w:tcPr>
          <w:p w14:paraId="5B2067BD" w14:textId="77777777" w:rsidR="0001156A" w:rsidRPr="00086837" w:rsidRDefault="00BD588B" w:rsidP="004A5054">
            <w:pPr>
              <w:jc w:val="center"/>
              <w:rPr>
                <w:b/>
                <w:bCs/>
                <w:sz w:val="26"/>
                <w:szCs w:val="26"/>
                <w:lang w:val="vi-VN"/>
              </w:rPr>
            </w:pPr>
            <w:r>
              <w:rPr>
                <w:b/>
                <w:bCs/>
                <w:noProof/>
                <w:sz w:val="26"/>
                <w:szCs w:val="26"/>
              </w:rPr>
              <w:pict w14:anchorId="11C6DABB">
                <v:shapetype id="_x0000_t32" coordsize="21600,21600" o:spt="32" o:oned="t" path="m,l21600,21600e" filled="f">
                  <v:path arrowok="t" fillok="f" o:connecttype="none"/>
                  <o:lock v:ext="edit" shapetype="t"/>
                </v:shapetype>
                <v:shape id="_x0000_s1026" type="#_x0000_t32" style="position:absolute;left:0;text-align:left;margin-left:67.5pt;margin-top:16.1pt;width:38.25pt;height:0;z-index:251658240" o:connectortype="straight"/>
              </w:pict>
            </w:r>
            <w:r w:rsidR="00313346" w:rsidRPr="00086837">
              <w:rPr>
                <w:b/>
                <w:bCs/>
                <w:sz w:val="26"/>
                <w:szCs w:val="26"/>
                <w:lang w:val="vi-VN"/>
              </w:rPr>
              <w:t>BỘ QUỐC PHÒNG</w:t>
            </w:r>
            <w:r w:rsidR="0001156A" w:rsidRPr="00086837">
              <w:rPr>
                <w:b/>
                <w:bCs/>
                <w:sz w:val="26"/>
                <w:szCs w:val="26"/>
                <w:lang w:val="vi-VN"/>
              </w:rPr>
              <w:br/>
            </w:r>
          </w:p>
        </w:tc>
        <w:tc>
          <w:tcPr>
            <w:tcW w:w="3041" w:type="pct"/>
            <w:tcMar>
              <w:top w:w="0" w:type="dxa"/>
              <w:left w:w="108" w:type="dxa"/>
              <w:bottom w:w="0" w:type="dxa"/>
              <w:right w:w="108" w:type="dxa"/>
            </w:tcMar>
          </w:tcPr>
          <w:p w14:paraId="05389987" w14:textId="77777777" w:rsidR="0001156A" w:rsidRPr="00086837" w:rsidRDefault="0001156A" w:rsidP="004A5054">
            <w:pPr>
              <w:jc w:val="center"/>
              <w:rPr>
                <w:b/>
                <w:bCs/>
                <w:sz w:val="26"/>
                <w:szCs w:val="26"/>
                <w:lang w:val="vi-VN"/>
              </w:rPr>
            </w:pPr>
            <w:r w:rsidRPr="00086837">
              <w:rPr>
                <w:b/>
                <w:bCs/>
                <w:sz w:val="26"/>
                <w:szCs w:val="26"/>
                <w:lang w:val="vi-VN"/>
              </w:rPr>
              <w:t xml:space="preserve">CỘNG HÒA XÃ HỘI CHỦ NGHĨA VIỆT </w:t>
            </w:r>
            <w:r w:rsidR="004A5054" w:rsidRPr="00086837">
              <w:rPr>
                <w:b/>
                <w:bCs/>
                <w:sz w:val="26"/>
                <w:szCs w:val="26"/>
                <w:lang w:val="vi-VN"/>
              </w:rPr>
              <w:t>NAM</w:t>
            </w:r>
            <w:r w:rsidR="004A5054" w:rsidRPr="00086837">
              <w:rPr>
                <w:b/>
                <w:bCs/>
                <w:sz w:val="26"/>
                <w:szCs w:val="26"/>
                <w:lang w:val="vi-VN"/>
              </w:rPr>
              <w:br/>
              <w:t>Độc lập - Tự do - Hạnh phúc</w:t>
            </w:r>
          </w:p>
        </w:tc>
      </w:tr>
      <w:tr w:rsidR="0001156A" w:rsidRPr="00086837" w14:paraId="5A2217EA" w14:textId="77777777" w:rsidTr="0068670F">
        <w:trPr>
          <w:jc w:val="center"/>
        </w:trPr>
        <w:tc>
          <w:tcPr>
            <w:tcW w:w="1959" w:type="pct"/>
            <w:tcMar>
              <w:top w:w="0" w:type="dxa"/>
              <w:left w:w="108" w:type="dxa"/>
              <w:bottom w:w="0" w:type="dxa"/>
              <w:right w:w="108" w:type="dxa"/>
            </w:tcMar>
          </w:tcPr>
          <w:p w14:paraId="610A2B6C" w14:textId="77777777" w:rsidR="00090A74" w:rsidRPr="00086837" w:rsidRDefault="00090A74" w:rsidP="00090A74">
            <w:pPr>
              <w:rPr>
                <w:sz w:val="24"/>
                <w:szCs w:val="26"/>
                <w:lang w:val="vi-VN"/>
              </w:rPr>
            </w:pPr>
          </w:p>
          <w:p w14:paraId="5E30A693" w14:textId="77777777" w:rsidR="0001156A" w:rsidRPr="00086837" w:rsidRDefault="004A0878" w:rsidP="00090A74">
            <w:pPr>
              <w:jc w:val="center"/>
              <w:rPr>
                <w:sz w:val="26"/>
                <w:szCs w:val="26"/>
                <w:lang w:val="vi-VN"/>
              </w:rPr>
            </w:pPr>
            <w:r w:rsidRPr="00086837">
              <w:rPr>
                <w:sz w:val="26"/>
                <w:szCs w:val="26"/>
                <w:lang w:val="vi-VN"/>
              </w:rPr>
              <w:t>Số:</w:t>
            </w:r>
            <w:r w:rsidR="00155A13" w:rsidRPr="00086837">
              <w:rPr>
                <w:sz w:val="26"/>
                <w:szCs w:val="26"/>
              </w:rPr>
              <w:t xml:space="preserve">           </w:t>
            </w:r>
            <w:r w:rsidR="0001156A" w:rsidRPr="00086837">
              <w:rPr>
                <w:sz w:val="26"/>
                <w:szCs w:val="26"/>
                <w:lang w:val="vi-VN"/>
              </w:rPr>
              <w:t>/BC-</w:t>
            </w:r>
            <w:r w:rsidR="00313346" w:rsidRPr="00086837">
              <w:rPr>
                <w:sz w:val="26"/>
                <w:szCs w:val="26"/>
                <w:lang w:val="vi-VN"/>
              </w:rPr>
              <w:t>BQP</w:t>
            </w:r>
          </w:p>
        </w:tc>
        <w:tc>
          <w:tcPr>
            <w:tcW w:w="3041" w:type="pct"/>
            <w:tcMar>
              <w:top w:w="0" w:type="dxa"/>
              <w:left w:w="108" w:type="dxa"/>
              <w:bottom w:w="0" w:type="dxa"/>
              <w:right w:w="108" w:type="dxa"/>
            </w:tcMar>
          </w:tcPr>
          <w:p w14:paraId="0B73352A" w14:textId="77777777" w:rsidR="00090A74" w:rsidRPr="00086837" w:rsidRDefault="00BD588B" w:rsidP="00090A74">
            <w:pPr>
              <w:jc w:val="center"/>
              <w:rPr>
                <w:i/>
                <w:iCs/>
                <w:sz w:val="26"/>
                <w:szCs w:val="26"/>
                <w:lang w:val="vi-VN"/>
              </w:rPr>
            </w:pPr>
            <w:r>
              <w:rPr>
                <w:noProof/>
                <w:sz w:val="26"/>
                <w:szCs w:val="26"/>
              </w:rPr>
              <w:pict w14:anchorId="14C1E112">
                <v:shape id="_x0000_s1027" type="#_x0000_t32" style="position:absolute;left:0;text-align:left;margin-left:55.7pt;margin-top:1.7pt;width:156pt;height:0;z-index:251659264;mso-position-horizontal-relative:text;mso-position-vertical-relative:text" o:connectortype="straight"/>
              </w:pict>
            </w:r>
          </w:p>
          <w:p w14:paraId="5DCB44FA" w14:textId="0E20BB41" w:rsidR="0001156A" w:rsidRPr="00086837" w:rsidRDefault="00313346" w:rsidP="00090A74">
            <w:pPr>
              <w:jc w:val="center"/>
              <w:rPr>
                <w:i/>
                <w:iCs/>
                <w:sz w:val="26"/>
                <w:szCs w:val="26"/>
                <w:lang w:val="vi-VN"/>
              </w:rPr>
            </w:pPr>
            <w:r w:rsidRPr="00086837">
              <w:rPr>
                <w:i/>
                <w:iCs/>
                <w:sz w:val="26"/>
                <w:szCs w:val="26"/>
                <w:lang w:val="vi-VN"/>
              </w:rPr>
              <w:t>Hà Nội,</w:t>
            </w:r>
            <w:r w:rsidR="0001156A" w:rsidRPr="00086837">
              <w:rPr>
                <w:i/>
                <w:iCs/>
                <w:sz w:val="26"/>
                <w:szCs w:val="26"/>
                <w:lang w:val="vi-VN"/>
              </w:rPr>
              <w:t xml:space="preserve"> ngày</w:t>
            </w:r>
            <w:r w:rsidR="00155A13" w:rsidRPr="00086837">
              <w:rPr>
                <w:i/>
                <w:iCs/>
                <w:sz w:val="26"/>
                <w:szCs w:val="26"/>
              </w:rPr>
              <w:t xml:space="preserve"> </w:t>
            </w:r>
            <w:r w:rsidR="00910351" w:rsidRPr="00086837">
              <w:rPr>
                <w:i/>
                <w:iCs/>
                <w:sz w:val="26"/>
                <w:szCs w:val="26"/>
              </w:rPr>
              <w:t xml:space="preserve">    </w:t>
            </w:r>
            <w:r w:rsidR="0001156A" w:rsidRPr="00086837">
              <w:rPr>
                <w:i/>
                <w:iCs/>
                <w:sz w:val="26"/>
                <w:szCs w:val="26"/>
                <w:lang w:val="vi-VN"/>
              </w:rPr>
              <w:t xml:space="preserve"> tháng</w:t>
            </w:r>
            <w:r w:rsidR="00155A13" w:rsidRPr="00086837">
              <w:rPr>
                <w:i/>
                <w:iCs/>
                <w:sz w:val="26"/>
                <w:szCs w:val="26"/>
              </w:rPr>
              <w:t xml:space="preserve"> </w:t>
            </w:r>
            <w:r w:rsidR="00212B31">
              <w:rPr>
                <w:i/>
                <w:iCs/>
                <w:sz w:val="26"/>
                <w:szCs w:val="26"/>
              </w:rPr>
              <w:t>3</w:t>
            </w:r>
            <w:r w:rsidR="00155A13" w:rsidRPr="00086837">
              <w:rPr>
                <w:i/>
                <w:iCs/>
                <w:sz w:val="26"/>
                <w:szCs w:val="26"/>
              </w:rPr>
              <w:t xml:space="preserve"> </w:t>
            </w:r>
            <w:r w:rsidR="0001156A" w:rsidRPr="00086837">
              <w:rPr>
                <w:i/>
                <w:iCs/>
                <w:sz w:val="26"/>
                <w:szCs w:val="26"/>
                <w:lang w:val="vi-VN"/>
              </w:rPr>
              <w:t>năm</w:t>
            </w:r>
            <w:r w:rsidR="00155A13" w:rsidRPr="00086837">
              <w:rPr>
                <w:i/>
                <w:iCs/>
                <w:sz w:val="26"/>
                <w:szCs w:val="26"/>
              </w:rPr>
              <w:t xml:space="preserve"> 202</w:t>
            </w:r>
            <w:r w:rsidR="006E0C4A" w:rsidRPr="00086837">
              <w:rPr>
                <w:i/>
                <w:iCs/>
                <w:sz w:val="26"/>
                <w:szCs w:val="26"/>
              </w:rPr>
              <w:t>6</w:t>
            </w:r>
          </w:p>
        </w:tc>
      </w:tr>
    </w:tbl>
    <w:p w14:paraId="33C24877" w14:textId="77777777" w:rsidR="00090A74" w:rsidRPr="00086837" w:rsidRDefault="00090A74" w:rsidP="00867C4B">
      <w:pPr>
        <w:rPr>
          <w:sz w:val="16"/>
        </w:rPr>
      </w:pPr>
    </w:p>
    <w:p w14:paraId="7BB32A20" w14:textId="77777777" w:rsidR="00867C4B" w:rsidRPr="00086837" w:rsidRDefault="00867C4B" w:rsidP="00090A74">
      <w:pPr>
        <w:jc w:val="center"/>
        <w:rPr>
          <w:b/>
          <w:bCs/>
        </w:rPr>
      </w:pPr>
    </w:p>
    <w:p w14:paraId="3F62DF03" w14:textId="4CE80275" w:rsidR="0001156A" w:rsidRPr="00086837" w:rsidRDefault="0001156A" w:rsidP="00090A74">
      <w:pPr>
        <w:jc w:val="center"/>
        <w:rPr>
          <w:b/>
          <w:bCs/>
          <w:lang w:val="vi-VN"/>
        </w:rPr>
      </w:pPr>
      <w:r w:rsidRPr="00086837">
        <w:rPr>
          <w:b/>
          <w:bCs/>
          <w:lang w:val="vi-VN"/>
        </w:rPr>
        <w:t>BÁO CÁO</w:t>
      </w:r>
    </w:p>
    <w:p w14:paraId="4F125180" w14:textId="77777777" w:rsidR="0001156A" w:rsidRPr="00086837" w:rsidRDefault="00F504F7" w:rsidP="00090A74">
      <w:pPr>
        <w:jc w:val="center"/>
        <w:rPr>
          <w:b/>
          <w:bCs/>
          <w:lang w:val="vi-VN"/>
        </w:rPr>
      </w:pPr>
      <w:r w:rsidRPr="00086837">
        <w:rPr>
          <w:b/>
          <w:bCs/>
        </w:rPr>
        <w:t>Đ</w:t>
      </w:r>
      <w:r w:rsidRPr="00086837">
        <w:rPr>
          <w:b/>
          <w:bCs/>
          <w:lang w:val="vi-VN"/>
        </w:rPr>
        <w:t>ánh gi</w:t>
      </w:r>
      <w:r w:rsidR="00355DEA" w:rsidRPr="00086837">
        <w:rPr>
          <w:b/>
          <w:bCs/>
          <w:lang w:val="vi-VN"/>
        </w:rPr>
        <w:t>á tác động của chính sách</w:t>
      </w:r>
      <w:r w:rsidRPr="00086837">
        <w:rPr>
          <w:b/>
          <w:bCs/>
          <w:lang w:val="vi-VN"/>
        </w:rPr>
        <w:br/>
      </w:r>
      <w:r w:rsidRPr="00086837">
        <w:rPr>
          <w:b/>
          <w:bCs/>
        </w:rPr>
        <w:t>L</w:t>
      </w:r>
      <w:r w:rsidRPr="00086837">
        <w:rPr>
          <w:b/>
          <w:bCs/>
          <w:lang w:val="vi-VN"/>
        </w:rPr>
        <w:t xml:space="preserve">uật </w:t>
      </w:r>
      <w:r w:rsidRPr="00086837">
        <w:rPr>
          <w:b/>
          <w:bCs/>
        </w:rPr>
        <w:t>P</w:t>
      </w:r>
      <w:r w:rsidRPr="00086837">
        <w:rPr>
          <w:b/>
          <w:bCs/>
          <w:lang w:val="vi-VN"/>
        </w:rPr>
        <w:t>hòng, chống phổ biến vũ khí hủy diệt hàng loạt</w:t>
      </w:r>
    </w:p>
    <w:p w14:paraId="0CCD8C6C" w14:textId="77777777" w:rsidR="00FF10D3" w:rsidRPr="00086837" w:rsidRDefault="00BD588B" w:rsidP="00090A74">
      <w:pPr>
        <w:ind w:firstLine="709"/>
        <w:rPr>
          <w:lang w:val="vi-VN"/>
        </w:rPr>
      </w:pPr>
      <w:r>
        <w:rPr>
          <w:noProof/>
        </w:rPr>
        <w:pict w14:anchorId="0B44D268">
          <v:shape id="_x0000_s1030" type="#_x0000_t32" style="position:absolute;left:0;text-align:left;margin-left:166.25pt;margin-top:1.3pt;width:110pt;height:0;z-index:251662336" o:connectortype="straight"/>
        </w:pict>
      </w:r>
    </w:p>
    <w:p w14:paraId="4490B472" w14:textId="77777777" w:rsidR="001E6D5D" w:rsidRPr="00086837" w:rsidRDefault="001E6D5D" w:rsidP="001E6D5D">
      <w:pPr>
        <w:spacing w:before="80" w:line="276" w:lineRule="auto"/>
        <w:jc w:val="center"/>
      </w:pPr>
      <w:r w:rsidRPr="00086837">
        <w:t xml:space="preserve">Kính gửi: </w:t>
      </w:r>
      <w:r w:rsidR="00D86AC8" w:rsidRPr="00086837">
        <w:t>Chính phủ.</w:t>
      </w:r>
    </w:p>
    <w:p w14:paraId="7E674F81" w14:textId="77777777" w:rsidR="00D86AC8" w:rsidRPr="00086837" w:rsidRDefault="00D86AC8" w:rsidP="00CD0358">
      <w:pPr>
        <w:spacing w:before="60" w:line="269" w:lineRule="auto"/>
        <w:jc w:val="center"/>
        <w:rPr>
          <w:sz w:val="4"/>
        </w:rPr>
      </w:pPr>
    </w:p>
    <w:p w14:paraId="6E78B535" w14:textId="0C7680ED" w:rsidR="00B14A5D" w:rsidRPr="00086837" w:rsidRDefault="00B14A5D" w:rsidP="00B14A5D">
      <w:pPr>
        <w:spacing w:before="80" w:line="276" w:lineRule="auto"/>
        <w:ind w:firstLine="709"/>
        <w:rPr>
          <w:b/>
          <w:bCs/>
          <w:lang w:val="vi-VN"/>
        </w:rPr>
      </w:pPr>
      <w:r w:rsidRPr="00086837">
        <w:rPr>
          <w:b/>
          <w:bCs/>
          <w:lang w:val="vi-VN"/>
        </w:rPr>
        <w:t>I. XÁC ĐỊNH VẤN ĐỀ</w:t>
      </w:r>
    </w:p>
    <w:p w14:paraId="27CCA319" w14:textId="77777777" w:rsidR="00B14A5D" w:rsidRPr="00086837" w:rsidRDefault="00B14A5D" w:rsidP="00E70D92">
      <w:pPr>
        <w:pStyle w:val="ListParagraph"/>
        <w:numPr>
          <w:ilvl w:val="0"/>
          <w:numId w:val="1"/>
        </w:numPr>
        <w:spacing w:before="80" w:line="276" w:lineRule="auto"/>
        <w:ind w:left="0" w:firstLine="709"/>
        <w:rPr>
          <w:b/>
          <w:bCs/>
          <w:lang w:val="vi-VN"/>
        </w:rPr>
      </w:pPr>
      <w:r w:rsidRPr="00086837">
        <w:rPr>
          <w:b/>
          <w:bCs/>
          <w:lang w:val="vi-VN"/>
        </w:rPr>
        <w:t>Bối cảnh xây dựng chính sách</w:t>
      </w:r>
    </w:p>
    <w:p w14:paraId="7099BED6" w14:textId="77777777" w:rsidR="00B14A5D" w:rsidRPr="00086837" w:rsidRDefault="00B14A5D" w:rsidP="00E70D92">
      <w:pPr>
        <w:spacing w:before="80" w:line="276" w:lineRule="auto"/>
        <w:ind w:firstLine="709"/>
        <w:jc w:val="both"/>
        <w:rPr>
          <w:iCs/>
          <w:lang w:val="vi-VN"/>
        </w:rPr>
      </w:pPr>
      <w:r w:rsidRPr="00086837">
        <w:rPr>
          <w:iCs/>
          <w:lang w:val="vi-VN"/>
        </w:rPr>
        <w:t>1.1. Bối cảnh quốc tế, khu vực liên quan đến các chính sách</w:t>
      </w:r>
    </w:p>
    <w:p w14:paraId="553AFFE4" w14:textId="1E369284" w:rsidR="00B14A5D" w:rsidRPr="00086837" w:rsidRDefault="00B14A5D" w:rsidP="00E70D92">
      <w:pPr>
        <w:spacing w:before="80" w:line="276" w:lineRule="auto"/>
        <w:ind w:firstLine="720"/>
        <w:jc w:val="both"/>
        <w:rPr>
          <w:spacing w:val="-2"/>
        </w:rPr>
      </w:pPr>
      <w:r w:rsidRPr="00086837">
        <w:rPr>
          <w:spacing w:val="-2"/>
        </w:rPr>
        <w:t>Trong những năm gần đây, tình hình an ninh, chính trị thế giới diễn biến hết sức phức tạp, chịu tác động đan xen của nhiều sự kiện lớn mang tính toàn cầu và khu vực như: Đại dịch Covid-19; xung đột Nga - Ukraine; các cuộc xung đột tại Trung Đông như Israel - Hamas, Israel - Iran. Trong bối cảnh đó, vũ khí huỷ diệt hàng loạt (Weapons of Mass Destruction-WMD) được một số quốc gia coi là công cụ răn đe chiến lược, n</w:t>
      </w:r>
      <w:r w:rsidRPr="00086837">
        <w:rPr>
          <w:spacing w:val="-2"/>
          <w:lang w:val="vi-VN"/>
        </w:rPr>
        <w:t xml:space="preserve">hiều quốc gia </w:t>
      </w:r>
      <w:r w:rsidRPr="00086837">
        <w:rPr>
          <w:spacing w:val="-2"/>
        </w:rPr>
        <w:t>không ngừng tìm cách sở hữu</w:t>
      </w:r>
      <w:r w:rsidRPr="00086837">
        <w:rPr>
          <w:spacing w:val="-2"/>
          <w:lang w:val="vi-VN"/>
        </w:rPr>
        <w:t>, nghiên cứu</w:t>
      </w:r>
      <w:r w:rsidRPr="00086837">
        <w:rPr>
          <w:spacing w:val="-2"/>
        </w:rPr>
        <w:t>,</w:t>
      </w:r>
      <w:r w:rsidRPr="00086837">
        <w:rPr>
          <w:spacing w:val="-2"/>
          <w:lang w:val="vi-VN"/>
        </w:rPr>
        <w:t xml:space="preserve"> phát triển</w:t>
      </w:r>
      <w:r w:rsidRPr="00086837">
        <w:rPr>
          <w:spacing w:val="-2"/>
        </w:rPr>
        <w:t>, hiện đại hoá</w:t>
      </w:r>
      <w:r w:rsidRPr="00086837">
        <w:rPr>
          <w:spacing w:val="-2"/>
          <w:lang w:val="vi-VN"/>
        </w:rPr>
        <w:t xml:space="preserve"> vũ khí hạt nhân</w:t>
      </w:r>
      <w:r w:rsidRPr="00086837">
        <w:rPr>
          <w:rStyle w:val="FootnoteReference"/>
          <w:spacing w:val="-2"/>
          <w:lang w:val="vi-VN"/>
        </w:rPr>
        <w:footnoteReference w:id="1"/>
      </w:r>
      <w:r w:rsidRPr="00086837">
        <w:rPr>
          <w:spacing w:val="-2"/>
        </w:rPr>
        <w:t xml:space="preserve">, các tổ chức khủng bố và các chủ thể phi nhà nước không ngừng tìm cách tiếp cận, </w:t>
      </w:r>
      <w:r w:rsidRPr="00086837">
        <w:rPr>
          <w:spacing w:val="-2"/>
          <w:lang w:val="vi-VN"/>
        </w:rPr>
        <w:t>sở hữu các loại WMD bằng nhiều cách thức, thủ đoạn</w:t>
      </w:r>
      <w:r w:rsidRPr="00086837">
        <w:rPr>
          <w:spacing w:val="-2"/>
        </w:rPr>
        <w:t xml:space="preserve"> khác nhau. Tình hình trên không chỉ làm gia tăng bất ổn, cạnh tranh và đối đầu chiến lược giữa các quốc gia, mà còn tác động mạnh mẽ, sâu sắc đến cấu trúc an ninh toàn cầu, làm suy giảm hiệu quả các cơ chế kiểm soát, không phổ biến WMD, đặt ra những thách thức mới đối với công tác phòng ngừa, ngăn chặn và xử lý các nguy cơ phổ biến và tài trợ phổ biến WMD.</w:t>
      </w:r>
    </w:p>
    <w:p w14:paraId="5377BA40" w14:textId="7932A4DD" w:rsidR="00B14A5D" w:rsidRPr="00086837" w:rsidRDefault="00B14A5D" w:rsidP="004035E0">
      <w:pPr>
        <w:spacing w:before="80" w:line="269" w:lineRule="auto"/>
        <w:ind w:firstLine="720"/>
        <w:jc w:val="both"/>
      </w:pPr>
      <w:r w:rsidRPr="00086837">
        <w:t>Cùng với đó, sự phát triển nhanh chóng của khoa học và công nghệ, cuộc Cách mạng công nghiệp lần thứ tư, đặc biệt trong các lĩnh vực trí tuệ nhân tạo, công nghệ sinh học, sinh học tổng hợp, công nghệ gen thế hệ mới, vật liệu tiên tiến, in 3D, điện toán đám mây và công nghệ tài chính số, đã tạo ra những thách thức mới đối với công tác phòng, chống phổ biến và tài trợ phổ biến WMD. Các tiến bộ công nghệ</w:t>
      </w:r>
      <w:r w:rsidR="00180330" w:rsidRPr="00086837">
        <w:t xml:space="preserve"> thúc đẩy </w:t>
      </w:r>
      <w:r w:rsidRPr="00086837">
        <w:t xml:space="preserve">mạnh mẽ phát triển kinh tế - xã hội, </w:t>
      </w:r>
      <w:r w:rsidR="00180330" w:rsidRPr="00086837">
        <w:t>nhưng cũng</w:t>
      </w:r>
      <w:r w:rsidRPr="00086837">
        <w:t xml:space="preserve"> làm mờ ranh giới giữa mục đích dân sự và quân sự, làm gia tăng nguy cơ bị lợi dụng </w:t>
      </w:r>
      <w:r w:rsidR="00180330" w:rsidRPr="00086837">
        <w:t xml:space="preserve">kết quả khoa học công nghệ để thực hiện </w:t>
      </w:r>
      <w:r w:rsidRPr="00086837">
        <w:t xml:space="preserve">hoạt động phổ biến WMD. Các </w:t>
      </w:r>
      <w:r w:rsidRPr="00086837">
        <w:lastRenderedPageBreak/>
        <w:t>phương thức tài trợ phổ biến ngày càng tinh vi, khó phát hiện và khó kiểm soát, nhất là thông qua các nền tảng công nghệ số và phương tiện thanh toán điện tử. Bên cạnh đó, việc sản xuất, mua bán, vận chuyển các loại vật liệu, thiết bị, công nghệ và hàng hóa lưỡng dụng tại một số quốc gia và khu vực trên thế giới vẫn chưa được kiểm soát một cách hiệu quả. Thực trạng này tiềm ẩn nguy cơ bị lợi dụng cho mục đích nghiên cứu, chế tạo, phát triển WMD, đặt ra những thách thức lớn đối với an ninh, an toàn của từng quốc gia, cũng như an ninh, ổn định của khu vực và thế giới.</w:t>
      </w:r>
    </w:p>
    <w:p w14:paraId="3330FCB9" w14:textId="36FC3F18" w:rsidR="00B14A5D" w:rsidRPr="00086837" w:rsidRDefault="00B14A5D" w:rsidP="004035E0">
      <w:pPr>
        <w:spacing w:before="80" w:line="269" w:lineRule="auto"/>
        <w:ind w:firstLine="720"/>
        <w:jc w:val="both"/>
      </w:pPr>
      <w:r w:rsidRPr="00086837">
        <w:t xml:space="preserve">Ở bình diện khu vực và quốc tế, xu thế nội luật hóa các cam kết không phổ biến WMD đang được thúc đẩy mạnh mẽ. Nhiều điều ước, quy phạm quốc tế quan trọng </w:t>
      </w:r>
      <w:r w:rsidR="00180330" w:rsidRPr="00086837">
        <w:t>về</w:t>
      </w:r>
      <w:r w:rsidRPr="00086837">
        <w:t xml:space="preserve"> không phổ biến WMD đã được </w:t>
      </w:r>
      <w:r w:rsidR="00180330" w:rsidRPr="00086837">
        <w:t>ký kết</w:t>
      </w:r>
      <w:r w:rsidRPr="00086837">
        <w:t xml:space="preserve"> như: Hiệp ước không phổ biến vũ khí hạt nhân (NPT); Công ước cấm vũ khí sinh học</w:t>
      </w:r>
      <w:r w:rsidR="00556047" w:rsidRPr="00086837">
        <w:t xml:space="preserve"> </w:t>
      </w:r>
      <w:r w:rsidRPr="00086837">
        <w:t>(BWC); Công ước cấm vũ khí hóa học (CWC); Hiệp ước Khu vực Đông Nam Á không có vũ khí hạt nhân (Hiệp ước Băng Cốc năm 1995); Hiệp ước cấm thử hạt nhân toàn diện (CTBT) và Nghị quyết số 1540 của Hội đồng Bảo an Liên hợp quốc về không phổ biến WMD. Đồng thời, các chuẩn mực quốc tế về trừng phạt tài chính mục tiêu (targeted financial sanctions</w:t>
      </w:r>
      <w:r w:rsidR="005F6ACD">
        <w:t>-</w:t>
      </w:r>
      <w:r w:rsidRPr="00086837">
        <w:t>TFS) liên quan đến phổ biến WMD</w:t>
      </w:r>
      <w:r w:rsidR="00180330" w:rsidRPr="00086837">
        <w:t xml:space="preserve"> </w:t>
      </w:r>
      <w:r w:rsidRPr="00086837">
        <w:t>-</w:t>
      </w:r>
      <w:r w:rsidR="00180330" w:rsidRPr="00086837">
        <w:t xml:space="preserve"> </w:t>
      </w:r>
      <w:r w:rsidRPr="00086837">
        <w:t>Khuyến nghị số 7, được thừa nhận rộng rãi trong cơ chế tuân thủ của Lực lượng đặc nhiệm tài chính quốc tế (FATF),  đặt ra yêu cầu cốt lõi: Các quốc gia phải áp dụng đầy đủ, không chậm trễ và không cần thông báo trước các biện pháp trừng phạt tài chính mục tiêu nhằm thực thi các nghị quyết có liên quan của Hội đồng Bảo an Liên hợp quốc. Các biện pháp trừng phạt tài chính mục tiêu theo chuẩn mực này bao gồm: đóng băng tiền, tài sản và ngăn chặn việc cung cấp (trực tiếp hoặc gián tiếp) tiền, tài sản hoặc dịch vụ tài chính cho các tổ chức, cá nhân bị chỉ định.</w:t>
      </w:r>
    </w:p>
    <w:p w14:paraId="795C0604" w14:textId="16F90F89" w:rsidR="00B14A5D" w:rsidRDefault="00180330" w:rsidP="004035E0">
      <w:pPr>
        <w:spacing w:before="80" w:line="269" w:lineRule="auto"/>
        <w:ind w:firstLine="709"/>
        <w:jc w:val="both"/>
      </w:pPr>
      <w:r w:rsidRPr="00086837">
        <w:t>C</w:t>
      </w:r>
      <w:r w:rsidR="00B14A5D" w:rsidRPr="00086837">
        <w:t>ác quốc gia khu vực ASEAN,</w:t>
      </w:r>
      <w:r w:rsidR="00B14A5D" w:rsidRPr="00086837">
        <w:rPr>
          <w:lang w:val="vi-VN"/>
        </w:rPr>
        <w:t xml:space="preserve"> trong đó Việt Nam là quốc gia thành viên</w:t>
      </w:r>
      <w:r w:rsidR="00B14A5D" w:rsidRPr="00086837">
        <w:t>,</w:t>
      </w:r>
      <w:r w:rsidR="00B14A5D" w:rsidRPr="00086837">
        <w:rPr>
          <w:lang w:val="vi-VN"/>
        </w:rPr>
        <w:t xml:space="preserve"> có quan điểm khá đồng nhất về phòng, chống </w:t>
      </w:r>
      <w:r w:rsidR="00B14A5D" w:rsidRPr="00086837">
        <w:t xml:space="preserve">phổ biến </w:t>
      </w:r>
      <w:r w:rsidR="00B14A5D" w:rsidRPr="00086837">
        <w:rPr>
          <w:lang w:val="vi-VN"/>
        </w:rPr>
        <w:t>WMD</w:t>
      </w:r>
      <w:r w:rsidRPr="00086837">
        <w:t>.</w:t>
      </w:r>
      <w:r w:rsidR="00B14A5D" w:rsidRPr="00086837">
        <w:rPr>
          <w:lang w:val="vi-VN"/>
        </w:rPr>
        <w:t xml:space="preserve"> </w:t>
      </w:r>
      <w:r w:rsidRPr="00086837">
        <w:t>N</w:t>
      </w:r>
      <w:r w:rsidR="00B14A5D" w:rsidRPr="00086837">
        <w:rPr>
          <w:lang w:val="vi-VN"/>
        </w:rPr>
        <w:t xml:space="preserve">hiều quốc gia như Singapore, Thái Lan đã có luật về phòng, chống </w:t>
      </w:r>
      <w:r w:rsidR="00B14A5D" w:rsidRPr="00086837">
        <w:t xml:space="preserve">phổ biến </w:t>
      </w:r>
      <w:r w:rsidR="00B14A5D" w:rsidRPr="00086837">
        <w:rPr>
          <w:lang w:val="vi-VN"/>
        </w:rPr>
        <w:t>WMD</w:t>
      </w:r>
      <w:r w:rsidRPr="00086837">
        <w:t>,</w:t>
      </w:r>
      <w:r w:rsidR="00B14A5D" w:rsidRPr="00086837">
        <w:t xml:space="preserve"> </w:t>
      </w:r>
      <w:r w:rsidR="00B14A5D" w:rsidRPr="00086837">
        <w:rPr>
          <w:lang w:val="vi-VN"/>
        </w:rPr>
        <w:t xml:space="preserve">Hiến chương ASEAN cũng có quy định về xây dựng ASEAN là một khu vực không có vũ khí hạt nhân và các </w:t>
      </w:r>
      <w:r w:rsidR="00B14A5D" w:rsidRPr="00086837">
        <w:t>loại WMD</w:t>
      </w:r>
      <w:r w:rsidR="00B14A5D" w:rsidRPr="00086837">
        <w:rPr>
          <w:lang w:val="vi-VN"/>
        </w:rPr>
        <w:t xml:space="preserve"> khác</w:t>
      </w:r>
      <w:r w:rsidR="00B14A5D" w:rsidRPr="00086837">
        <w:rPr>
          <w:rStyle w:val="FootnoteReference"/>
          <w:rFonts w:eastAsiaTheme="majorEastAsia"/>
          <w:lang w:val="vi-VN"/>
        </w:rPr>
        <w:footnoteReference w:id="2"/>
      </w:r>
      <w:r w:rsidR="00B14A5D" w:rsidRPr="00086837">
        <w:rPr>
          <w:lang w:val="vi-VN"/>
        </w:rPr>
        <w:t xml:space="preserve">. Bên cạnh đó, các quốc gia ASEAN phần lớn đều tham gia các hiệp ước, công ước về chống phổ biến WMD như: Hiệp ước không phổ biến vũ khí hạt nhân (NPT), Công ước cấm vũ khí hóa học (CWC), Công ước cấm vũ khí sinh học (BWC)... Điều đó cho thấy, vai trò ngày càng quan trọng của </w:t>
      </w:r>
      <w:r w:rsidRPr="00086837">
        <w:t xml:space="preserve">công tác phòng, chống phổ biến và tài trợ phổ biến WMD, các quốc gia tăng cường </w:t>
      </w:r>
      <w:r w:rsidR="00B14A5D" w:rsidRPr="00086837">
        <w:rPr>
          <w:lang w:val="vi-VN"/>
        </w:rPr>
        <w:t>nội luật hóa các cam kết quốc tế, tăng cường hiệu lực, hiệu quả phòng ngừa và kiểm soát nguy cơ phổ biến WMD, bảo đảm hài hòa giữa yêu cầu an ninh và phát triển.</w:t>
      </w:r>
    </w:p>
    <w:p w14:paraId="7F05D33A" w14:textId="6544B7CC" w:rsidR="00135425" w:rsidRDefault="00135425" w:rsidP="00180330">
      <w:pPr>
        <w:spacing w:before="80" w:line="276" w:lineRule="auto"/>
        <w:ind w:firstLine="709"/>
        <w:jc w:val="both"/>
      </w:pPr>
      <w:r w:rsidRPr="00135425">
        <w:lastRenderedPageBreak/>
        <w:t xml:space="preserve">Những diễn biến nêu trên tác động trực tiếp tới Việt Nam </w:t>
      </w:r>
      <w:r>
        <w:t>về</w:t>
      </w:r>
      <w:r w:rsidRPr="00135425">
        <w:t>: (</w:t>
      </w:r>
      <w:r>
        <w:t>1</w:t>
      </w:r>
      <w:r w:rsidRPr="00135425">
        <w:t>) thương mại</w:t>
      </w:r>
      <w:r>
        <w:t xml:space="preserve">, </w:t>
      </w:r>
      <w:r w:rsidRPr="00135425">
        <w:t>logistics xuyên biên giới làm gia tăng rủi ro trung chuyển, chuyển tải và tiếp cận hàng hóa</w:t>
      </w:r>
      <w:r>
        <w:t xml:space="preserve">, </w:t>
      </w:r>
      <w:r w:rsidRPr="00135425">
        <w:t>công nghệ lưỡng dụng; (</w:t>
      </w:r>
      <w:r>
        <w:t>2</w:t>
      </w:r>
      <w:r w:rsidRPr="00135425">
        <w:t>) hợp tác khoa học</w:t>
      </w:r>
      <w:r>
        <w:t xml:space="preserve">, </w:t>
      </w:r>
      <w:r w:rsidRPr="00135425">
        <w:t>công nghệ, chuyển giao tri thức và dữ liệu kỹ thuật nhạy cảm làm tăng nguy cơ lạm dụng thành tựu vì mục đích phi hòa bình; (</w:t>
      </w:r>
      <w:r>
        <w:t>3</w:t>
      </w:r>
      <w:r w:rsidRPr="00135425">
        <w:t>) dòng tiền và thanh toán quốc tế đòi hỏi cơ chế trừng phạt tài chính mục tiêu, đóng băng tài sản và ngăn cung cấp tài sản</w:t>
      </w:r>
      <w:r>
        <w:t xml:space="preserve">, </w:t>
      </w:r>
      <w:r w:rsidRPr="00135425">
        <w:t>dịch vụ tài chính đối với tổ chức, cá nhân bị chỉ định. Việc thiếu</w:t>
      </w:r>
      <w:r w:rsidR="001B026A">
        <w:t xml:space="preserve"> khung</w:t>
      </w:r>
      <w:r w:rsidRPr="00135425">
        <w:t xml:space="preserve"> pháp lý ở cấp luật làm giảm tính thống nhất, liên thông và tốc độ phản ứng giữa các cơ quan quản lý, lực lượng thực thi và hệ thống tài chính.</w:t>
      </w:r>
    </w:p>
    <w:p w14:paraId="67431C69" w14:textId="77777777" w:rsidR="00AD01B4" w:rsidRPr="00AD01B4" w:rsidRDefault="00AD01B4" w:rsidP="00AD01B4">
      <w:pPr>
        <w:spacing w:before="80" w:line="276" w:lineRule="auto"/>
        <w:ind w:firstLine="709"/>
        <w:jc w:val="both"/>
      </w:pPr>
      <w:r w:rsidRPr="00AD01B4">
        <w:t>Từ bối cảnh quốc tế, khu vực nêu trên, yêu cầu đặt ra đối với việc hoàn thiện chính sách là:</w:t>
      </w:r>
    </w:p>
    <w:p w14:paraId="14A5C369" w14:textId="45DB719B" w:rsidR="00AD01B4" w:rsidRPr="00AD01B4" w:rsidRDefault="00AD01B4" w:rsidP="00AD01B4">
      <w:pPr>
        <w:spacing w:before="80" w:line="276" w:lineRule="auto"/>
        <w:ind w:firstLine="709"/>
        <w:jc w:val="both"/>
        <w:rPr>
          <w:spacing w:val="-2"/>
        </w:rPr>
      </w:pPr>
      <w:r w:rsidRPr="00AD01B4">
        <w:rPr>
          <w:spacing w:val="-2"/>
        </w:rPr>
        <w:t xml:space="preserve">(1) </w:t>
      </w:r>
      <w:r w:rsidR="00D72436">
        <w:rPr>
          <w:spacing w:val="-2"/>
        </w:rPr>
        <w:t>P</w:t>
      </w:r>
      <w:r w:rsidRPr="00AD01B4">
        <w:rPr>
          <w:spacing w:val="-2"/>
        </w:rPr>
        <w:t>hải tạo lập cơ sở pháp lý đủ mạnh để nội luật hóa đầy đủ các cam kết quốc tế về phòng, chống phổ biến và tài trợ phổ biến WMD, bảo đảm thực hiện thống nhất các điều ước quốc tế, Nghị quyết số 1540 của Hội đồng Bảo an Liên hợp quốc và các chuẩn mực quốc tế có liên quan.</w:t>
      </w:r>
    </w:p>
    <w:p w14:paraId="36464FC3" w14:textId="33996949" w:rsidR="00AD01B4" w:rsidRPr="00AD01B4" w:rsidRDefault="00AD01B4" w:rsidP="00AD01B4">
      <w:pPr>
        <w:spacing w:before="80" w:line="276" w:lineRule="auto"/>
        <w:ind w:firstLine="709"/>
        <w:jc w:val="both"/>
      </w:pPr>
      <w:r w:rsidRPr="00AD01B4">
        <w:t xml:space="preserve">(2) </w:t>
      </w:r>
      <w:r w:rsidR="00D72436">
        <w:t>P</w:t>
      </w:r>
      <w:r w:rsidRPr="00AD01B4">
        <w:t>hải thiết lập cơ chế kiểm soát toàn diện đối với các hoạt động có nguy cơ phổ biến WMD, nhất là đối với hàng hóa, vật liệu, thiết bị, công nghệ và dịch vụ lưỡng dụng trong thương mại, logistics và giao dịch xuyên biên giới.</w:t>
      </w:r>
    </w:p>
    <w:p w14:paraId="426EC3A8" w14:textId="4DCE0A52" w:rsidR="00AD01B4" w:rsidRPr="00AD01B4" w:rsidRDefault="00AD01B4" w:rsidP="00AD01B4">
      <w:pPr>
        <w:spacing w:before="80" w:line="276" w:lineRule="auto"/>
        <w:ind w:firstLine="709"/>
        <w:jc w:val="both"/>
      </w:pPr>
      <w:r w:rsidRPr="00AD01B4">
        <w:t xml:space="preserve">(3) </w:t>
      </w:r>
      <w:r w:rsidR="00D72436">
        <w:t>P</w:t>
      </w:r>
      <w:r w:rsidRPr="00AD01B4">
        <w:t>hải thiết lập đầy đủ cơ chế phòng, chống tài trợ phổ biến WMD, nhất là cơ chế trừng phạt tài chính mục tiêu, đóng băng tài sản và ngăn chặn việc cung cấp tiền, tài sản, dịch vụ tài chính cho tổ chức, cá nhân bị chỉ định theo quy định của Liên hợp quốc và chuẩn mực quốc tế.</w:t>
      </w:r>
    </w:p>
    <w:p w14:paraId="2E54D960" w14:textId="23E28912" w:rsidR="00AD01B4" w:rsidRPr="00AD01B4" w:rsidRDefault="00AD01B4" w:rsidP="00AD01B4">
      <w:pPr>
        <w:spacing w:before="80" w:line="276" w:lineRule="auto"/>
        <w:ind w:firstLine="709"/>
        <w:jc w:val="both"/>
      </w:pPr>
      <w:r w:rsidRPr="00AD01B4">
        <w:t xml:space="preserve">(4) </w:t>
      </w:r>
      <w:r w:rsidR="00D72436">
        <w:t>P</w:t>
      </w:r>
      <w:r w:rsidRPr="00AD01B4">
        <w:t>hải bảo đảm theo kịp sự phát triển của khoa học, công nghệ và các phương thức tài trợ mới, nhằm kiểm soát nguy cơ lợi dụng các thành tựu công nghệ cho mục đích phổ biến WMD.</w:t>
      </w:r>
    </w:p>
    <w:p w14:paraId="08240D72" w14:textId="56B606EB" w:rsidR="00AD01B4" w:rsidRPr="00AD01B4" w:rsidRDefault="00AD01B4" w:rsidP="00AD01B4">
      <w:pPr>
        <w:spacing w:before="80" w:line="276" w:lineRule="auto"/>
        <w:ind w:firstLine="709"/>
        <w:jc w:val="both"/>
      </w:pPr>
      <w:r w:rsidRPr="00AD01B4">
        <w:t xml:space="preserve">(5) </w:t>
      </w:r>
      <w:r w:rsidR="00D72436">
        <w:t>P</w:t>
      </w:r>
      <w:r w:rsidRPr="00AD01B4">
        <w:t>hải tăng cường cơ chế phối hợp liên ngành và hợp tác quốc tế, bảo đảm chia sẻ thông tin, kiểm soát xuất khẩu, kiểm soát tài chính và thực hiện hiệu quả các nghĩa vụ báo cáo, giám sát theo cơ chế quốc tế và khu vực.</w:t>
      </w:r>
    </w:p>
    <w:p w14:paraId="5A5FCC3A" w14:textId="059CEA54" w:rsidR="00B14A5D" w:rsidRPr="00086837" w:rsidRDefault="00B14A5D" w:rsidP="00E70D92">
      <w:pPr>
        <w:spacing w:before="80" w:line="276" w:lineRule="auto"/>
        <w:ind w:firstLine="709"/>
        <w:jc w:val="both"/>
        <w:rPr>
          <w:iCs/>
          <w:lang w:val="vi-VN"/>
        </w:rPr>
      </w:pPr>
      <w:r w:rsidRPr="00086837">
        <w:rPr>
          <w:iCs/>
          <w:lang w:val="vi-VN"/>
        </w:rPr>
        <w:t>1.2. Bối cảnh trong nước liên quan đến các chính sách</w:t>
      </w:r>
    </w:p>
    <w:p w14:paraId="282AA1D1" w14:textId="77777777" w:rsidR="00B14A5D" w:rsidRPr="00086837" w:rsidRDefault="00B14A5D" w:rsidP="00E70D92">
      <w:pPr>
        <w:spacing w:before="80" w:line="276" w:lineRule="auto"/>
        <w:ind w:firstLine="709"/>
        <w:jc w:val="both"/>
        <w:rPr>
          <w:i/>
          <w:iCs/>
          <w:lang w:val="vi-VN"/>
        </w:rPr>
      </w:pPr>
      <w:r w:rsidRPr="00086837">
        <w:rPr>
          <w:i/>
          <w:iCs/>
          <w:lang w:val="vi-VN"/>
        </w:rPr>
        <w:t>1.2.1. Chính trị</w:t>
      </w:r>
    </w:p>
    <w:p w14:paraId="068E931D" w14:textId="252ECF1B" w:rsidR="00B14A5D" w:rsidRPr="00086837" w:rsidRDefault="00B14A5D" w:rsidP="00E70D92">
      <w:pPr>
        <w:spacing w:before="80" w:line="276" w:lineRule="auto"/>
        <w:ind w:firstLine="709"/>
        <w:jc w:val="both"/>
        <w:rPr>
          <w:lang w:val="vi-VN"/>
        </w:rPr>
      </w:pPr>
      <w:r w:rsidRPr="00086837">
        <w:rPr>
          <w:lang w:val="vi-VN"/>
        </w:rPr>
        <w:t xml:space="preserve">Việt Nam luôn kiên định thực hiện đường lối đối ngoại độc lập, tự chủ, hòa bình, hữu nghị, hợp tác và phát triển; đa phương hóa, đa dạng hóa quan hệ; chủ động và tích cực hội nhập, hợp tác quốc tế; tuân thủ Hiến chương Liên hợp quốc và các điều ước quốc tế mà Việt Nam là thành viên; là bạn, đối tác tin cậy và thành viên có trách nhiệm của cộng đồng quốc tế. Đường lối này được hiến định tại Điều 12 Hiến pháp nước Cộng hòa xã hội chủ nghĩa Việt Nam năm </w:t>
      </w:r>
      <w:r w:rsidRPr="00086837">
        <w:rPr>
          <w:lang w:val="vi-VN"/>
        </w:rPr>
        <w:lastRenderedPageBreak/>
        <w:t xml:space="preserve">2013, được sửa đổi, bổ sung một số điều </w:t>
      </w:r>
      <w:r w:rsidR="005537F1">
        <w:t>bởi</w:t>
      </w:r>
      <w:r w:rsidRPr="00086837">
        <w:rPr>
          <w:lang w:val="vi-VN"/>
        </w:rPr>
        <w:t xml:space="preserve"> Nghị quyết số 203/2025/QH15 ngày 16/6/2025 của Quốc hội tạo cơ sở chính trị - pháp lý cho việc tham gia</w:t>
      </w:r>
      <w:r w:rsidR="005D32AA">
        <w:t xml:space="preserve"> và </w:t>
      </w:r>
      <w:r w:rsidRPr="00086837">
        <w:rPr>
          <w:lang w:val="vi-VN"/>
        </w:rPr>
        <w:t>thực</w:t>
      </w:r>
      <w:r w:rsidR="005D32AA">
        <w:t xml:space="preserve"> </w:t>
      </w:r>
      <w:r w:rsidRPr="00086837">
        <w:rPr>
          <w:lang w:val="vi-VN"/>
        </w:rPr>
        <w:t>hiện các cam kết quốc tế trong những lĩnh vực liên quan đến hòa bình, an ninh và phòng, chống phổ biến WMD.</w:t>
      </w:r>
    </w:p>
    <w:p w14:paraId="5249CE6F" w14:textId="0D96D9BE" w:rsidR="00C37744" w:rsidRDefault="00C37744" w:rsidP="00E70D92">
      <w:pPr>
        <w:spacing w:before="80" w:line="276" w:lineRule="auto"/>
        <w:ind w:firstLine="709"/>
        <w:jc w:val="both"/>
      </w:pPr>
      <w:r w:rsidRPr="00C37744">
        <w:t xml:space="preserve">Tại Đại hội XIII và Đại hội XIV, Đảng ta nhất quán quan điểm giữ vững môi trường hòa bình, ổn định và bảo vệ vững chắc Tổ quốc là điều kiện nền tảng để phát triển nhanh, bền vững; đồng thời nhấn mạnh tăng cường quốc phòng, an ninh và kết hợp chặt chẽ phát triển kinh tế </w:t>
      </w:r>
      <w:r>
        <w:t>-</w:t>
      </w:r>
      <w:r w:rsidRPr="00C37744">
        <w:t xml:space="preserve"> xã hội với củng cố tiềm lực bảo vệ Tổ quốc. Trên phương diện đối ngoại, tiếp tục khẳng định đường lối độc lập, tự chủ, đa phương hóa, đa dạng hóa, chủ động hội nhập quốc tế; Đại hội XIV (nhiệm kỳ 2026</w:t>
      </w:r>
      <w:r>
        <w:t>-</w:t>
      </w:r>
      <w:r w:rsidRPr="00C37744">
        <w:t>2031) nhấn mạnh củng cố tự chủ chiến lược, nâng cao năng lực ứng phó rủi ro an ninh khu vực và toàn cầu. Các định hướng này là cơ sở chính trị để hoàn thiện thể chế, nâng cao hiệu lực quản lý nhà nước và tăng cường hợp tác quốc tế nhằm chủ động phòng ngừa, phát hiện, ngăn chặn nguy cơ phổ biến và tài trợ phổ biến WMD.</w:t>
      </w:r>
    </w:p>
    <w:p w14:paraId="0F2E385E" w14:textId="414B1C38" w:rsidR="00B14A5D" w:rsidRPr="00086837" w:rsidRDefault="00B14A5D" w:rsidP="00E70D92">
      <w:pPr>
        <w:spacing w:before="80" w:line="276" w:lineRule="auto"/>
        <w:ind w:firstLine="709"/>
        <w:jc w:val="both"/>
        <w:rPr>
          <w:spacing w:val="-2"/>
          <w:lang w:val="vi-VN"/>
        </w:rPr>
      </w:pPr>
      <w:r w:rsidRPr="00086837">
        <w:rPr>
          <w:lang w:val="vi-VN"/>
        </w:rPr>
        <w:t>Đại hội đại biểu toàn quốc lần thứ XIV của Đảng (nhiệm kỳ 2026 - 2031) tiếp tục khẳng định yêu cầu giữ vững môi trường hòa bình, ổn định để phát triển nhanh và bền vững; đồng thời nhấn mạnh củng cố tự chủ chiến lược, tăng cường quốc phòng - an ninh và đẩy mạnh đối ngoại, hội nhập quốc tế</w:t>
      </w:r>
      <w:r w:rsidR="009E2463" w:rsidRPr="00086837">
        <w:t>;</w:t>
      </w:r>
      <w:r w:rsidRPr="00086837">
        <w:rPr>
          <w:lang w:val="vi-VN"/>
        </w:rPr>
        <w:t xml:space="preserve"> đối ngoại độc lập, tự chủ; đa phương hóa, đa dạng hóa; chủ động, tích cực hội nhập quốc tế </w:t>
      </w:r>
      <w:r w:rsidRPr="00086837">
        <w:rPr>
          <w:spacing w:val="-2"/>
          <w:lang w:val="vi-VN"/>
        </w:rPr>
        <w:t xml:space="preserve">toàn diện, sâu rộng, hiệu quả; kết hợp chặt chẽ các kênh đối ngoại và đóng góp có trách nhiệm vào hòa bình, ổn định, hợp tác và phát triển bền vững ở khu vực và thế giới. Đồng thời, </w:t>
      </w:r>
      <w:r w:rsidR="008E6767" w:rsidRPr="008E6767">
        <w:rPr>
          <w:spacing w:val="-2"/>
        </w:rPr>
        <w:t xml:space="preserve">Nghị quyết số 66-NQ/TW ngày 30/4/2025 của Bộ Chính trị về đổi mới công tác xây dựng và thi hành pháp luật và Nghị quyết số 57-NQ/TW </w:t>
      </w:r>
      <w:r w:rsidR="008E6767">
        <w:rPr>
          <w:spacing w:val="-2"/>
        </w:rPr>
        <w:t xml:space="preserve">ngày 22/12/2024 của Bộ Chính trị </w:t>
      </w:r>
      <w:r w:rsidR="008E6767" w:rsidRPr="008E6767">
        <w:rPr>
          <w:spacing w:val="-2"/>
        </w:rPr>
        <w:t>về đột phá phát triển khoa học, công nghệ, đổi mới sáng tạo và chuyển đổi số tiếp tục đặt ra yêu cầu hoàn thiện thể chế, nâng cao chất lượng xây dựng pháp luật, tăng cường năng lực quản trị quốc gia và chủ động ứng phó với các rủi ro an ninh truyền thống, phi truyền thống trong bối cảnh mới</w:t>
      </w:r>
      <w:r w:rsidRPr="00086837">
        <w:rPr>
          <w:spacing w:val="-2"/>
          <w:lang w:val="vi-VN"/>
        </w:rPr>
        <w:t>. Đây là cơ sở chính trị quan trọng để Việt Nam tiếp tục hoàn thiện khuôn khổ pháp luật, cơ chế phối hợp và năng lực thực thi, nhằm phòng ngừa từ sớm, từ xa nguy cơ phổ biến và tài trợ phổ biến WMD, nhất là trong bối cảnh giao lưu kinh tế - khoa học - công nghệ ngày càng sâu rộng và nguy cơ bị lợi dụng thành tựu công nghệ vì mục đích phi hòa bình gia tăng.</w:t>
      </w:r>
    </w:p>
    <w:p w14:paraId="060E9F81" w14:textId="696BBFD2" w:rsidR="00C37744" w:rsidRDefault="00C37744" w:rsidP="00E70D92">
      <w:pPr>
        <w:spacing w:before="80" w:line="276" w:lineRule="auto"/>
        <w:ind w:firstLine="709"/>
        <w:jc w:val="both"/>
      </w:pPr>
      <w:r w:rsidRPr="00C37744">
        <w:t xml:space="preserve">Trên cơ sở trách nhiệm của quốc gia thành viên Liên hợp quốc và các nghĩa vụ pháp lý quốc tế có liên quan, chủ trương của Việt Nam là nghiêm cấm nghiên cứu, phát triển, sản xuất, tàng trữ, sử dụng, phổ biến và tài trợ phổ biến WMD; đồng thời triển khai các biện pháp phòng ngừa, ngăn chặn nguy cơ phổ biến, đặc biệt đối với nguy cơ chủ thể phi nhà nước lợi dụng khoa học, công </w:t>
      </w:r>
      <w:r w:rsidRPr="00C37744">
        <w:lastRenderedPageBreak/>
        <w:t>nghệ, vật liệu và hàng hóa lưỡng dụng. Việc cụ thể hóa danh mục hành vi bị cấm, nghĩa vụ tuân thủ và chế tài ở cấp luật cần được hoàn thiện để bảo đảm tính thống nhất, khả thi và hiệu lực thực thi.</w:t>
      </w:r>
    </w:p>
    <w:p w14:paraId="3F9FD113" w14:textId="77777777" w:rsidR="00B14A5D" w:rsidRPr="00086837" w:rsidRDefault="00B14A5D" w:rsidP="00E70D92">
      <w:pPr>
        <w:spacing w:before="80" w:line="276" w:lineRule="auto"/>
        <w:ind w:firstLine="709"/>
        <w:jc w:val="both"/>
        <w:rPr>
          <w:lang w:val="vi-VN"/>
        </w:rPr>
      </w:pPr>
      <w:r w:rsidRPr="00086837">
        <w:rPr>
          <w:lang w:val="vi-VN"/>
        </w:rPr>
        <w:t xml:space="preserve">Chính sách không phổ biến WMD của Việt Nam được thể hiện nhất quán thông qua việc tham gia, tuân thủ và thực thi nghiêm túc các điều ước quốc tế </w:t>
      </w:r>
      <w:r w:rsidRPr="00086837">
        <w:rPr>
          <w:spacing w:val="-2"/>
          <w:lang w:val="vi-VN"/>
        </w:rPr>
        <w:t>quan trọng, gồm Hiệp ước Không phổ biến vũ khí hạt nhân (NPT), Công ước Cấm vũ khí hóa học (CWC) và Công ước Cấm vũ khí sinh học và độc tố (BWC). Việc thực hiện đầy đủ các cam kết này không chỉ nhằm đáp ứng nghĩa vụ pháp lý quốc tế, mà còn khẳng định uy tín, bản lĩnh chính trị và trách nhiệm của Việt Nam cùng cộng đồng quốc tế ứng phó với các thách thức an ninh toàn cầu.</w:t>
      </w:r>
    </w:p>
    <w:p w14:paraId="71249AA5" w14:textId="24441ECF" w:rsidR="00B14A5D" w:rsidRDefault="00B35C38" w:rsidP="00E70D92">
      <w:pPr>
        <w:spacing w:before="80" w:line="276" w:lineRule="auto"/>
        <w:ind w:firstLine="709"/>
        <w:jc w:val="both"/>
      </w:pPr>
      <w:r w:rsidRPr="00086837">
        <w:t>C</w:t>
      </w:r>
      <w:r w:rsidR="00B14A5D" w:rsidRPr="00086837">
        <w:rPr>
          <w:lang w:val="vi-VN"/>
        </w:rPr>
        <w:t>hủ trương của Đảng và Nhà nước về phòng, chống phổ biến WMD được thể chế hóa bằng hệ thống pháp luật và cơ chế tổ chức thực hiện thống nhất, cụ thể là Nghị định số 81/2019/NĐ-CP ngày 11/11/2019 của Chính phủ về phòng, chống phổ biến vũ khí hủy diệt hàng loạt (sau đây viết gọn là Nghị định số 81/2019/NĐ-CP) và các văn bản quy phạm pháp luật liên quan. Đây là nền tảng pháp lý quan trọng cho triển khai nhiệm vụ, đồng thời cũng là cơ sở thực tiễn - pháp lý để tiếp tục nghiên cứu, hoàn thiện chính sách và quy định ở cấp cao hơn nhằm nâng cao tính ổn định, thống nhất và khả thi trong tổ chức thực hiện.</w:t>
      </w:r>
    </w:p>
    <w:p w14:paraId="71BA986F" w14:textId="0B16860A" w:rsidR="00F86366" w:rsidRDefault="008E6767" w:rsidP="00E70D92">
      <w:pPr>
        <w:spacing w:before="80" w:line="276" w:lineRule="auto"/>
        <w:ind w:firstLine="709"/>
        <w:jc w:val="both"/>
      </w:pPr>
      <w:r w:rsidRPr="008E6767">
        <w:t xml:space="preserve">Đồng thời, Kết luận số 09-KL/TW ngày 10/3/2026 của Bộ Chính trị về hoàn thiện cấu trúc hệ thống pháp luật Việt Nam đáp ứng yêu cầu phát triển đất nước trong kỷ nguyên mới tiếp tục đặt ra yêu cầu đổi mới mạnh mẽ công tác xây dựng văn bản quy phạm pháp luật. Kết luận chỉ rõ hệ thống pháp luật hiện hành còn cồng kềnh, nhiều tầng nấc, tính thống nhất nội tại còn hạn chế, trật tự thứ bậc hiệu lực pháp lý trong một số trường hợp chưa thật rõ ràng, gây khó khăn cho cả xây dựng và tổ chức thi hành pháp luật. Trên cơ sở đó, Bộ Chính trị định hướng hoàn thiện cấu trúc hệ thống pháp luật theo hướng hiện đại, hợp lý, khoa học, thống nhất, đồng bộ, khả thi, công khai, minh bạch, ổn định, dễ tiếp cận; trong đó, xác định rõ cấu trúc theo thứ bậc các nguồn luật, lấy hệ thống văn bản quy phạm pháp luật làm nền tảng, đồng thời nghiên cứu mở rộng phạm vi áp dụng và xác định rõ giá trị pháp lý của các nguồn bổ trợ như án lệ, tập quán, lẽ công bằng trong những trường hợp phù hợp. Kết luận cũng nhấn mạnh yêu cầu đơn giản hóa hệ thống văn bản quy phạm pháp luật theo hướng mỗi chủ thể có thẩm quyền chỉ ban hành một hình thức văn bản quy phạm pháp luật; văn bản phải quy định rõ mục đích ban hành, phạm vi điều chỉnh, hiệu lực áp dụng, quy định chuyển tiếp; hạn chế việc ban hành nhiều văn bản quy định chi tiết, hướng dẫn thi hành và không ban hành một văn bản để sửa đổi, bổ sung nhiều văn bản khác khi không có sự liên hệ chặt chẽ về nội dung hoặc không cùng điều chỉnh một nhóm lĩnh vực. Đây là định hướng chính trị rất quan trọng để tiếp tục hoàn </w:t>
      </w:r>
      <w:r w:rsidRPr="008E6767">
        <w:lastRenderedPageBreak/>
        <w:t>thiện pháp luật về ban hành văn bản quy phạm pháp luật, nâng cao chất lượng xây dựng chính sách, bảo đảm tính thống nhất, minh bạch, khả thi và hiệu quả của hệ thống pháp luật.</w:t>
      </w:r>
    </w:p>
    <w:p w14:paraId="4DABFB62" w14:textId="5E02A89F" w:rsidR="00C33E44" w:rsidRDefault="00C33E44" w:rsidP="00C33E44">
      <w:pPr>
        <w:spacing w:before="80" w:line="276" w:lineRule="auto"/>
        <w:ind w:firstLine="709"/>
        <w:jc w:val="both"/>
      </w:pPr>
      <w:r w:rsidRPr="00C33E44">
        <w:t xml:space="preserve">Từ bối cảnh chính trị nêu trên, yêu cầu đặt ra đối với việc </w:t>
      </w:r>
      <w:r w:rsidR="00E54182">
        <w:t>hoàn thiện</w:t>
      </w:r>
      <w:r w:rsidRPr="00C33E44">
        <w:t xml:space="preserve"> chính sách về phòng, chống phổ biến và tài trợ phổ biến WMD là: </w:t>
      </w:r>
    </w:p>
    <w:p w14:paraId="2660FF01" w14:textId="20F88ED8" w:rsidR="00C33E44" w:rsidRPr="00C33E44" w:rsidRDefault="00C33E44" w:rsidP="00C33E44">
      <w:pPr>
        <w:spacing w:before="80" w:line="276" w:lineRule="auto"/>
        <w:ind w:firstLine="709"/>
        <w:jc w:val="both"/>
        <w:rPr>
          <w:spacing w:val="-6"/>
        </w:rPr>
      </w:pPr>
      <w:r w:rsidRPr="00C33E44">
        <w:rPr>
          <w:spacing w:val="-6"/>
        </w:rPr>
        <w:t xml:space="preserve">(1) </w:t>
      </w:r>
      <w:r w:rsidR="00E54182" w:rsidRPr="00E54182">
        <w:rPr>
          <w:spacing w:val="-6"/>
        </w:rPr>
        <w:t>P</w:t>
      </w:r>
      <w:r w:rsidRPr="00C33E44">
        <w:rPr>
          <w:spacing w:val="-6"/>
        </w:rPr>
        <w:t>hải bám sát và thể chế hóa đầy đủ chủ trương, đường lối của Đảng và Nhà nước về đối ngoại độc lập, tự chủ, hòa bình, hợp tác và phát triển; giữ vững môi trường hòa bình, ổn định; bảo vệ vững chắc Tổ quốc; chủ động, tích cực hội nhập quốc tế và nâng cao năng lực ứng phó với các rủi ro an ninh khu vực, toàn cầu.</w:t>
      </w:r>
    </w:p>
    <w:p w14:paraId="722392CA" w14:textId="6D507C27" w:rsidR="00C33E44" w:rsidRPr="00C33E44" w:rsidRDefault="00C33E44" w:rsidP="00C33E44">
      <w:pPr>
        <w:spacing w:before="80" w:line="276" w:lineRule="auto"/>
        <w:ind w:firstLine="709"/>
        <w:jc w:val="both"/>
      </w:pPr>
      <w:r w:rsidRPr="00C33E44">
        <w:t xml:space="preserve">(2) </w:t>
      </w:r>
      <w:r w:rsidR="00E54182">
        <w:t>P</w:t>
      </w:r>
      <w:r w:rsidRPr="00C33E44">
        <w:t>hải bảo đảm nội luật hóa đầy đủ và thực hiện nghiêm túc các nghĩa vụ pháp lý quốc tế của Việt Nam với tư cách là thành viên Liên hợp quốc và thành viên các điều ước quốc tế quan trọng về không phổ biến WMD, qua đó tiếp tục khẳng định uy tín, trách nhiệm và bản lĩnh chính trị của Việt Nam trong cộng đồng quốc tế.</w:t>
      </w:r>
    </w:p>
    <w:p w14:paraId="59C34FE2" w14:textId="07AF97C1" w:rsidR="00C33E44" w:rsidRPr="00C33E44" w:rsidRDefault="00C33E44" w:rsidP="00C33E44">
      <w:pPr>
        <w:spacing w:before="80" w:line="276" w:lineRule="auto"/>
        <w:ind w:firstLine="709"/>
        <w:jc w:val="both"/>
        <w:rPr>
          <w:spacing w:val="-2"/>
        </w:rPr>
      </w:pPr>
      <w:r w:rsidRPr="00C33E44">
        <w:t>(3</w:t>
      </w:r>
      <w:r w:rsidRPr="00C33E44">
        <w:rPr>
          <w:spacing w:val="-2"/>
        </w:rPr>
        <w:t xml:space="preserve">) </w:t>
      </w:r>
      <w:r w:rsidR="00E54182" w:rsidRPr="00E54182">
        <w:rPr>
          <w:spacing w:val="-2"/>
        </w:rPr>
        <w:t>P</w:t>
      </w:r>
      <w:r w:rsidRPr="00C33E44">
        <w:rPr>
          <w:spacing w:val="-2"/>
        </w:rPr>
        <w:t>hải đáp ứng yêu cầu phòng ngừa từ sớm, từ xa nguy cơ phổ biến và tài trợ phổ biến WMD, nhất là trong bối cảnh hội nhập quốc tế ngày càng sâu rộng và các thách thức an ninh phi truyền thống, xuyên quốc gia ngày càng gia tăng.</w:t>
      </w:r>
    </w:p>
    <w:p w14:paraId="34DC7EB9" w14:textId="5A324117" w:rsidR="00C33E44" w:rsidRPr="00C33E44" w:rsidRDefault="00C33E44" w:rsidP="00C33E44">
      <w:pPr>
        <w:spacing w:before="80" w:line="276" w:lineRule="auto"/>
        <w:ind w:firstLine="709"/>
        <w:jc w:val="both"/>
      </w:pPr>
      <w:r w:rsidRPr="00C33E44">
        <w:t xml:space="preserve">(4) </w:t>
      </w:r>
      <w:r w:rsidR="00E54182">
        <w:t>P</w:t>
      </w:r>
      <w:r w:rsidRPr="00C33E44">
        <w:t>hải tăng cường cơ chế phối hợp và năng lực tổ chức thực hiện của các cơ quan, tổ chức có liên quan, bảo đảm sự thống nhất, thông suốt và kịp thời trong triển khai chủ trương, chính sách của Đảng và Nhà nước về phòng, chống phổ biến và tài trợ phổ biến WMD.</w:t>
      </w:r>
    </w:p>
    <w:p w14:paraId="09F64F16" w14:textId="7A11E1D6" w:rsidR="00C33E44" w:rsidRPr="00C33E44" w:rsidRDefault="00C33E44" w:rsidP="00C33E44">
      <w:pPr>
        <w:spacing w:before="80" w:line="276" w:lineRule="auto"/>
        <w:ind w:firstLine="709"/>
        <w:jc w:val="both"/>
      </w:pPr>
      <w:r w:rsidRPr="00C33E44">
        <w:t xml:space="preserve">(5) </w:t>
      </w:r>
      <w:r w:rsidR="00E54182">
        <w:t>P</w:t>
      </w:r>
      <w:r w:rsidRPr="00C33E44">
        <w:t>hải quán triệt yêu cầu đổi mới công tác xây dựng văn bản quy phạm pháp luật theo tinh thần Kết luận số 09-KL/TW ngày 10/3/2026, góp phần nâng cao chất lượng thể chế hóa chủ trương của Đảng, bảo đảm tính thống nhất, minh bạch và hiệu quả của hệ thống pháp luật.</w:t>
      </w:r>
    </w:p>
    <w:p w14:paraId="244D967E" w14:textId="77777777" w:rsidR="00B14A5D" w:rsidRPr="00086837" w:rsidRDefault="00B14A5D" w:rsidP="00E70D92">
      <w:pPr>
        <w:spacing w:before="80" w:line="276" w:lineRule="auto"/>
        <w:ind w:firstLine="709"/>
        <w:jc w:val="both"/>
        <w:rPr>
          <w:i/>
          <w:iCs/>
          <w:lang w:val="vi-VN"/>
        </w:rPr>
      </w:pPr>
      <w:r w:rsidRPr="00086837">
        <w:rPr>
          <w:i/>
          <w:iCs/>
          <w:lang w:val="vi-VN"/>
        </w:rPr>
        <w:t>1.2.2. Kinh tế - xã hội</w:t>
      </w:r>
    </w:p>
    <w:p w14:paraId="4F931EA3" w14:textId="3F7B1805" w:rsidR="00B14A5D" w:rsidRPr="009709C5" w:rsidRDefault="00B14A5D" w:rsidP="009709C5">
      <w:pPr>
        <w:spacing w:before="60" w:line="269" w:lineRule="auto"/>
        <w:ind w:firstLine="709"/>
        <w:jc w:val="both"/>
      </w:pPr>
      <w:r w:rsidRPr="00086837">
        <w:rPr>
          <w:lang w:val="vi-VN"/>
        </w:rPr>
        <w:t xml:space="preserve">Trong những năm gần đây, Việt Nam tiếp tục đạt được những chuyển biến tích cực và toàn diện trên các lĩnh vực, cơ bản hoàn thành mục tiêu tổng quát đã đề ra. Kinh tế vĩ mô được giữ vững ổn định, lạm phát được kiểm soát, các cân đối lớn của nền kinh tế được bảo đảm; tăng trưởng kinh tế từng bước phục hồi và duy trì ở mức khá, thuộc nhóm các quốc gia có tốc độ tăng trưởng cao trong khu vực và thế giới. </w:t>
      </w:r>
      <w:r w:rsidR="009709C5" w:rsidRPr="009709C5">
        <w:t xml:space="preserve">Theo Báo cáo tình hình kinh tế </w:t>
      </w:r>
      <w:r w:rsidR="009709C5">
        <w:t>-</w:t>
      </w:r>
      <w:r w:rsidR="009709C5" w:rsidRPr="009709C5">
        <w:t xml:space="preserve"> xã hội quý IV và năm 2025 (công bố ngày 05/01/2026) của Cục Thống kê, năm 2025 GDP ước tăng 8,02%; CPI bình quân năm 2025 tăng 3,31% so với năm 2024</w:t>
      </w:r>
      <w:r w:rsidRPr="00086837">
        <w:rPr>
          <w:rStyle w:val="FootnoteReference"/>
        </w:rPr>
        <w:footnoteReference w:id="3"/>
      </w:r>
      <w:r w:rsidRPr="00086837">
        <w:rPr>
          <w:lang w:val="vi-VN"/>
        </w:rPr>
        <w:t xml:space="preserve">. Những kết quả này tạo nền tảng quan trọng để Việt Nam tiếp tục đẩy mạnh hội nhập quốc </w:t>
      </w:r>
      <w:r w:rsidRPr="00086837">
        <w:rPr>
          <w:lang w:val="vi-VN"/>
        </w:rPr>
        <w:lastRenderedPageBreak/>
        <w:t>tế sâu rộng, mở rộng quan hệ kinh tế, thương mại với các quốc gia và tổ chức quốc tế.</w:t>
      </w:r>
    </w:p>
    <w:p w14:paraId="5A0B3C43" w14:textId="77777777" w:rsidR="00B14A5D" w:rsidRPr="00086837" w:rsidRDefault="00B14A5D" w:rsidP="00B14A5D">
      <w:pPr>
        <w:spacing w:before="60" w:line="269" w:lineRule="auto"/>
        <w:ind w:firstLine="709"/>
        <w:jc w:val="both"/>
        <w:rPr>
          <w:lang w:val="vi-VN"/>
        </w:rPr>
      </w:pPr>
      <w:r w:rsidRPr="00086837">
        <w:rPr>
          <w:lang w:val="vi-VN"/>
        </w:rPr>
        <w:t>Cùng với xu thế đó, mức độ hội nhập kinh tế quốc tế của Việt Nam ngày càng sâu rộng, thể hiện trước hết ở việc trở thành thành viên của Tổ chức Thương mại Thế giới (WTO) từ ngày 11/01/2007. Trên nền tảng hội nhập đa phương, Việt Nam tiếp tục tham gia và thực thi các hiệp định thương mại tự do thế hệ mới với phạm vi cam kết rộng, mức độ mở cửa cao, tiêu biểu như Hiệp định Đối tác Toàn diện và Tiến bộ xuyên Thái Bình Dương (CPTPP) có hiệu lực đối với Việt Nam từ ngày 14/01/2019 và Hiệp định Thương mại tự do giữa Việt Nam và Liên minh châu Âu (EU) có hiệu lực từ ngày 01/8/2020; đã ký kết và đang tham gia tổng cộng khoảng 20 hiệp định thương mại tự do (FTA), trong đó có 16 FTA đang được thực thi; thiết lập quan hệ </w:t>
      </w:r>
      <w:hyperlink r:id="rId8" w:history="1">
        <w:r w:rsidRPr="00086837">
          <w:rPr>
            <w:rStyle w:val="Hyperlink"/>
            <w:color w:val="auto"/>
            <w:u w:val="none"/>
            <w:lang w:val="vi-VN"/>
          </w:rPr>
          <w:t>Đối tác chiến lược toàn diện</w:t>
        </w:r>
      </w:hyperlink>
      <w:r w:rsidRPr="00086837">
        <w:rPr>
          <w:lang w:val="vi-VN"/>
        </w:rPr>
        <w:t> với 15 đối tác (gồm 14 quốc gia và Liên minh châu Âu)… góp phần củng cố khuôn khổ hợp tác sâu rộng và nâng cao vị thế quốc tế của Việt Nam.</w:t>
      </w:r>
    </w:p>
    <w:p w14:paraId="7C13C980" w14:textId="6FB26A95" w:rsidR="00B14A5D" w:rsidRPr="00D56874" w:rsidRDefault="00B14A5D" w:rsidP="00D56874">
      <w:pPr>
        <w:spacing w:before="60" w:line="269" w:lineRule="auto"/>
        <w:ind w:firstLine="709"/>
        <w:jc w:val="both"/>
        <w:rPr>
          <w:i/>
          <w:iCs/>
        </w:rPr>
      </w:pPr>
      <w:r w:rsidRPr="00086837">
        <w:rPr>
          <w:lang w:val="vi-VN"/>
        </w:rPr>
        <w:t xml:space="preserve">Việc triển khai các cam kết hội nhập làm gia tăng nhanh quy mô và tần suất lưu chuyển hàng hóa, vật liệu, thiết bị và công nghệ qua biên giới. </w:t>
      </w:r>
      <w:r w:rsidR="00D56874" w:rsidRPr="00D56874">
        <w:t>Theo số liệu thống kê của Bộ Tài chính, tổng kim ngạch xuất khẩu, nhập khẩu của Việt Nam trong 10 tháng năm 2025 đạt 762,44 tỷ USD, tăng 17,4% so với cùng kỳ; trong đó kim ngạch xuất khẩu tăng 16,2% và kim ngạch nhập khẩu tăng 18,6%</w:t>
      </w:r>
      <w:r w:rsidRPr="00D56874">
        <w:rPr>
          <w:rStyle w:val="FootnoteReference"/>
        </w:rPr>
        <w:footnoteReference w:id="4"/>
      </w:r>
      <w:r w:rsidRPr="00D56874">
        <w:rPr>
          <w:lang w:val="vi-VN"/>
        </w:rPr>
        <w:t>.</w:t>
      </w:r>
      <w:r w:rsidRPr="00086837">
        <w:rPr>
          <w:lang w:val="vi-VN"/>
        </w:rPr>
        <w:t xml:space="preserve"> Quy mô thương mại gia tăng, chuỗi cung ứng ngày càng phức tạp và các giao dịch xuyên biên giới đa dạng vừa tạo dư địa tăng trưởng, vừa làm gia tăng yêu cầu, áp lực quản lý nhà nước trong kiểm soát rủi ro, nhất là tại các khâu cửa khẩu, logistics, trung chuyển và thanh toán quốc tế. Đồng thời, việc mở rộng nhanh chuỗi cung ứng và giao dịch xuyên biên giới đặt ra yêu cầu nâng cao năng lực quản lý nhà nước về nhận diện, đánh giá và kiểm soát rủi ro, đặc biệt đối với hàng hóa, vật liệu và công nghệ có tính chất lưỡng dụng.</w:t>
      </w:r>
    </w:p>
    <w:p w14:paraId="3BA5A609" w14:textId="1ED4F812" w:rsidR="00B14A5D" w:rsidRPr="004F43E3" w:rsidRDefault="00B14A5D" w:rsidP="004F43E3">
      <w:pPr>
        <w:spacing w:before="60" w:line="269" w:lineRule="auto"/>
        <w:ind w:firstLine="709"/>
        <w:jc w:val="both"/>
        <w:rPr>
          <w:spacing w:val="4"/>
        </w:rPr>
      </w:pPr>
      <w:r w:rsidRPr="00086837">
        <w:rPr>
          <w:spacing w:val="4"/>
          <w:lang w:val="vi-VN"/>
        </w:rPr>
        <w:t>Trong bối cảnh hội nhập ngày càng sâu rộng vào thị trường vốn và hệ thống thanh toán quốc tế, Việt Nam có yêu cầu tuân thủ các chuẩn mực quốc tế về phòng, chống rửa tiền và phòng, chống tài trợ phổ biến WMD theo các Khuyến nghị của FATF. Theo Khuyến nghị số 7 của FATF, các quốc gia có nghĩa vụ triển khai đầy đủ biện pháp trừng phạt tài chính mục tiêu nhằm thực thi các nghị quyết có liên quan của Hội đồng Bảo an Liên hợp quốc; trọng tâm là việc đóng băng “không chậm trễ” tài sản của cá nhân, tổ chức bị chỉ định và ngăn chặn việc cung cấp trực tiếp hoặc gián tiếp tài sản, dịch vụ tài chính cho các đối tượng này</w:t>
      </w:r>
      <w:r w:rsidRPr="00086837">
        <w:rPr>
          <w:rStyle w:val="FootnoteReference"/>
          <w:spacing w:val="4"/>
        </w:rPr>
        <w:footnoteReference w:id="5"/>
      </w:r>
      <w:r w:rsidRPr="00086837">
        <w:rPr>
          <w:spacing w:val="4"/>
          <w:lang w:val="vi-VN"/>
        </w:rPr>
        <w:t xml:space="preserve">. Việc một quốc gia bị đưa vào Danh sách các </w:t>
      </w:r>
      <w:r w:rsidRPr="00086837">
        <w:rPr>
          <w:spacing w:val="4"/>
          <w:lang w:val="vi-VN"/>
        </w:rPr>
        <w:lastRenderedPageBreak/>
        <w:t xml:space="preserve">khu vực pháp lý chịu giám sát tăng cường của FATF “Danh sách xám” thường dẫn đến việc các đối tác, tổ chức tài chính và trung gian thanh toán quốc tế tăng cường mức độ thẩm định, rà soát tuân thủ đối với các giao dịch xuyên biên giới, qua đó làm gia tăng chi phí tuân thủ và kéo dài thời gian xử lý giao dịch. </w:t>
      </w:r>
    </w:p>
    <w:p w14:paraId="5CDF8108" w14:textId="7C280AE1" w:rsidR="00B14A5D" w:rsidRDefault="004F43E3" w:rsidP="00B14A5D">
      <w:pPr>
        <w:tabs>
          <w:tab w:val="left" w:pos="709"/>
        </w:tabs>
        <w:spacing w:before="60" w:line="269" w:lineRule="auto"/>
        <w:jc w:val="both"/>
      </w:pPr>
      <w:r>
        <w:tab/>
      </w:r>
      <w:r w:rsidRPr="004F43E3">
        <w:t xml:space="preserve">Tại Kỳ họp toàn thể tháng 6/2023 (công bố ngày 23/6/2023), FATF đã đưa Việt Nam vào Danh sách các khu vực pháp lý chịu giám sát tăng cường (Grey list </w:t>
      </w:r>
      <w:r w:rsidR="00C05BBB">
        <w:t>-</w:t>
      </w:r>
      <w:r w:rsidRPr="004F43E3">
        <w:t xml:space="preserve"> Jurisdictions under Increased Monitoring). Trên cơ sở đó, FATF yêu cầu Việt Nam cam kết và triển khai Kế hoạch hành động để khắc phục nhanh các thiếu hụt chiến lược trong khung thời hạn thống nhất; đồng thời Việt Nam chịu cơ chế theo dõi, đánh giá tiến độ tăng cường của FATF. Để triển khai yêu cầu này, Thủ tướng Chính phủ đã ban hành Quyết định số 194/QĐ-TTg ngày 23/02/2024 về Kế hoạch hành động quốc gia (KHHĐQG), trong đó quy định phân công trách nhiệm, lộ trình thực hiện và thiết lập cơ chế điều phối, theo dõi, đôn đốc và báo cáo định kỳ; giao Ngân hàng Nhà nước Việt Nam làm đầu mối tổng hợp, báo cáo.</w:t>
      </w:r>
    </w:p>
    <w:p w14:paraId="056600FA" w14:textId="5577B840" w:rsidR="00B14A5D" w:rsidRPr="008E0BED" w:rsidRDefault="008E0BED" w:rsidP="00B14A5D">
      <w:pPr>
        <w:tabs>
          <w:tab w:val="left" w:pos="709"/>
        </w:tabs>
        <w:spacing w:before="60" w:line="269" w:lineRule="auto"/>
        <w:jc w:val="both"/>
      </w:pPr>
      <w:r>
        <w:tab/>
      </w:r>
      <w:r w:rsidRPr="008E0BED">
        <w:t>Theo thông báo của Ngân hàng Nhà nước Việt Nam, ngày 23/01/2026 FATF đã hoàn tất việc đánh giá Báo cáo PR6 của Việt Nam (PR6 được hiểu là Báo cáo tiến triển lần thứ 6 gửi FATF trong khuôn khổ cơ chế giám sát tăng cường). Kết quả đánh giá cho thấy: trong kỳ PR6, chỉ có hành động số 2 được đánh giá “Hoàn thành phần lớn”, hành động số 4 và số 6 được đánh giá “Hoàn thành một phần”. Như vậy, đến tháng 01/2026, Việt Nam còn 14/17 hành động cần tiếp tục thực hiện, gồm 11 hành động “Hoàn thành một phần” và 03 hành động “Chưa có tiến triển”.</w:t>
      </w:r>
      <w:r>
        <w:t xml:space="preserve"> </w:t>
      </w:r>
      <w:r w:rsidRPr="008E0BED">
        <w:t xml:space="preserve">Đặc biệt, hành động số 15 yêu cầu hoàn thiện pháp luật để cấm cung cấp tiền, tài sản cho phổ biến WMD đối với tổ chức, cá nhân. Trường hợp không đáp ứng tiến độ, hiệu quả theo yêu cầu, Việt Nam có nguy cơ bị rơi vào </w:t>
      </w:r>
      <w:r>
        <w:t>“</w:t>
      </w:r>
      <w:r w:rsidRPr="008E0BED">
        <w:t>Danh sách đen</w:t>
      </w:r>
      <w:r>
        <w:rPr>
          <w:rFonts w:ascii="Segoe UI Emoji" w:hAnsi="Segoe UI Emoji" w:cs="Segoe UI Emoji"/>
        </w:rPr>
        <w:t>”</w:t>
      </w:r>
      <w:r w:rsidRPr="008E0BED">
        <w:t>, tác động bất lợi đến uy tín và mức độ tin cậy của hệ thống pháp luật, tài chính trong quan hệ quốc tế, qua đó ảnh hưởng đến hoạt động thanh toán, đầu tư và thương mại quốc tế.</w:t>
      </w:r>
    </w:p>
    <w:p w14:paraId="35402DF8" w14:textId="3B1E8F24" w:rsidR="00B14A5D" w:rsidRPr="002E59C7" w:rsidRDefault="00B14A5D" w:rsidP="002E59C7">
      <w:pPr>
        <w:spacing w:before="60" w:line="269" w:lineRule="auto"/>
        <w:ind w:firstLine="709"/>
        <w:jc w:val="both"/>
        <w:rPr>
          <w:i/>
          <w:iCs/>
        </w:rPr>
      </w:pPr>
      <w:r w:rsidRPr="002E59C7">
        <w:rPr>
          <w:lang w:val="vi-VN"/>
        </w:rPr>
        <w:tab/>
      </w:r>
      <w:r w:rsidR="002E59C7" w:rsidRPr="002E59C7">
        <w:t xml:space="preserve">Về tác động kinh tế định lượng, nghiên </w:t>
      </w:r>
      <w:r w:rsidR="002E59C7" w:rsidRPr="00086837">
        <w:rPr>
          <w:lang w:val="vi-VN"/>
        </w:rPr>
        <w:t>cứu của Quỹ Tiền tệ Quốc tế (IMF, Working Paper WP/21/153)</w:t>
      </w:r>
      <w:r w:rsidR="002E59C7">
        <w:rPr>
          <w:i/>
          <w:iCs/>
        </w:rPr>
        <w:t xml:space="preserve"> </w:t>
      </w:r>
      <w:r w:rsidR="002E59C7" w:rsidRPr="002E59C7">
        <w:t>chỉ ra rằng khi một quốc gia bị đưa vào “Danh sách xám”, dòng vốn vào nền kinh tế giảm trung bình khoảng 7,6% GDP; trong đó FDI giảm khoảng 3,0% GDP, đầu tư gián tiếp giảm khoảng 2,9% GDP và các dòng vốn khác giảm khoảng 3,6% GDP</w:t>
      </w:r>
      <w:r w:rsidRPr="00086837">
        <w:rPr>
          <w:rStyle w:val="FootnoteReference"/>
        </w:rPr>
        <w:footnoteReference w:id="6"/>
      </w:r>
      <w:r w:rsidRPr="00086837">
        <w:rPr>
          <w:lang w:val="vi-VN"/>
        </w:rPr>
        <w:t>. Những tác động này đặt ra yêu cầu thực tiễn về việc hoàn thiện khuôn khổ pháp luật và nâng cao hiệu lực, hiệu quả thực thi các biện pháp phòng, chống tài trợ phổ biến WMD, bảo đảm đáp ứng chuẩn mực FATF và yêu cầu hợp tác, giao dịch tài chính quốc tế.</w:t>
      </w:r>
      <w:r w:rsidRPr="00086837">
        <w:rPr>
          <w:lang w:val="vi-VN"/>
        </w:rPr>
        <w:tab/>
      </w:r>
    </w:p>
    <w:p w14:paraId="7A3050F1" w14:textId="77777777" w:rsidR="00B14A5D" w:rsidRDefault="00B14A5D" w:rsidP="00B14A5D">
      <w:pPr>
        <w:spacing w:before="60" w:line="269" w:lineRule="auto"/>
        <w:ind w:firstLine="709"/>
        <w:jc w:val="both"/>
      </w:pPr>
      <w:r w:rsidRPr="00086837">
        <w:rPr>
          <w:lang w:val="vi-VN"/>
        </w:rPr>
        <w:lastRenderedPageBreak/>
        <w:t>Trên cơ sở các nội dung nêu trên có thể khẳng định, trong điều kiện đẩy mạnh phát triển kinh tế và hội nhập quốc tế, Việt Nam đứng trước yêu cầu ngày càng cao về bảo đảm an ninh, an toàn và thực hiện đầy đủ các nghĩa vụ, cam kết quốc tế về không phổ biến WMD. Do đó, cần tiếp tục hoàn thiện khung pháp lý; nâng cao năng lực quản lý nhà nước; tăng cường cơ chế phối hợp liên ngành; đồng thời tập trung nguồn lực, đầu tư có trọng tâm, trọng điểm cho các lực lượng thực thi nhằm nhận diện, phòng ngừa, ngăn chặn và kiểm soát hiệu quả các nguy cơ liên quan đến phổ biến và tài trợ phổ biến WMD, qua đó góp phần giữ vững môi trường hòa bình, ổn định phục vụ phát triển đất nước.</w:t>
      </w:r>
    </w:p>
    <w:p w14:paraId="34322C7E" w14:textId="300FC67B" w:rsidR="00875496" w:rsidRPr="00875496" w:rsidRDefault="00875496" w:rsidP="00B14A5D">
      <w:pPr>
        <w:spacing w:before="60" w:line="269" w:lineRule="auto"/>
        <w:ind w:firstLine="709"/>
        <w:jc w:val="both"/>
      </w:pPr>
      <w:r w:rsidRPr="00875496">
        <w:t xml:space="preserve">Từ bối cảnh kinh tế - xã hội nêu trên, yêu cầu đặt ra đối với </w:t>
      </w:r>
      <w:r w:rsidR="00E54182">
        <w:t>việc hoàn thiện</w:t>
      </w:r>
      <w:r w:rsidRPr="00875496">
        <w:t xml:space="preserve"> chính sách về phòng, chống phổ biến và tài trợ phổ biến </w:t>
      </w:r>
      <w:r>
        <w:t>WMD là:</w:t>
      </w:r>
    </w:p>
    <w:p w14:paraId="5C20DAD8" w14:textId="6A458858" w:rsidR="00875496" w:rsidRDefault="00875496" w:rsidP="00875496">
      <w:pPr>
        <w:spacing w:before="60" w:line="269" w:lineRule="auto"/>
        <w:ind w:firstLine="709"/>
        <w:jc w:val="both"/>
      </w:pPr>
      <w:r w:rsidRPr="00875496">
        <w:t xml:space="preserve">(1) </w:t>
      </w:r>
      <w:r w:rsidR="00E54182">
        <w:t>P</w:t>
      </w:r>
      <w:r w:rsidRPr="00875496">
        <w:t>hải đáp ứng yêu cầu bảo đảm an ninh, an toàn trong điều kiện phát triển kinh tế và hội nhập quốc tế sâu rộng, khi lưu chuyển hàng hóa, công nghệ, vật liệu và dòng tiền qua biên giới ngày càng gia tăng.</w:t>
      </w:r>
    </w:p>
    <w:p w14:paraId="194B25FD" w14:textId="2D7A6407" w:rsidR="00875496" w:rsidRDefault="00875496" w:rsidP="00875496">
      <w:pPr>
        <w:spacing w:before="60" w:line="269" w:lineRule="auto"/>
        <w:ind w:firstLine="709"/>
        <w:jc w:val="both"/>
      </w:pPr>
      <w:r w:rsidRPr="00875496">
        <w:t xml:space="preserve">(2) </w:t>
      </w:r>
      <w:r w:rsidR="00E54182">
        <w:t>P</w:t>
      </w:r>
      <w:r w:rsidRPr="00875496">
        <w:t>hải tạo lập cơ sở pháp lý đầy đủ để kiểm soát rủi ro đối với hàng hóa, vật liệu, thiết bị, công nghệ và dịch vụ lưỡng dụng trong hoạt động xuất khẩu, nhập khẩu, trung chuyển, chuyển tải, logistics và thanh toán quốc tế</w:t>
      </w:r>
      <w:r>
        <w:t>.</w:t>
      </w:r>
    </w:p>
    <w:p w14:paraId="77D740B6" w14:textId="1BA09E23" w:rsidR="00875496" w:rsidRDefault="00875496" w:rsidP="00875496">
      <w:pPr>
        <w:spacing w:before="60" w:line="269" w:lineRule="auto"/>
        <w:ind w:firstLine="709"/>
        <w:jc w:val="both"/>
      </w:pPr>
      <w:r w:rsidRPr="00875496">
        <w:t>(3)</w:t>
      </w:r>
      <w:r w:rsidR="00FF724D">
        <w:t xml:space="preserve"> </w:t>
      </w:r>
      <w:r w:rsidR="00E54182">
        <w:t>P</w:t>
      </w:r>
      <w:r w:rsidRPr="00875496">
        <w:t>hải bảo đảm tuân thủ các chuẩn mực quốc tế về phòng, chống rửa tiền và phòng, chống tài trợ phổ biến WMD, nhất là yêu cầu về trừng phạt tài chính mục tiêu theo khuyến nghị của FATF.</w:t>
      </w:r>
    </w:p>
    <w:p w14:paraId="577542DE" w14:textId="62454505" w:rsidR="00875496" w:rsidRDefault="00875496" w:rsidP="00875496">
      <w:pPr>
        <w:spacing w:before="60" w:line="269" w:lineRule="auto"/>
        <w:ind w:firstLine="709"/>
        <w:jc w:val="both"/>
      </w:pPr>
      <w:r w:rsidRPr="00875496">
        <w:t xml:space="preserve">(4) </w:t>
      </w:r>
      <w:r w:rsidR="00E54182">
        <w:t>P</w:t>
      </w:r>
      <w:r w:rsidRPr="00875496">
        <w:t>hải góp phần khắc phục các thiếu hụt pháp lý, thể chế theo cam kết của Việt Nam với FATF, qua đó giảm rủi ro đối với hệ thống tài chính, đầu tư, thương mại và uy tín quốc gia trong quan hệ quốc tế.</w:t>
      </w:r>
    </w:p>
    <w:p w14:paraId="1A0C4E6D" w14:textId="6163F771" w:rsidR="00875496" w:rsidRPr="00875496" w:rsidRDefault="00875496" w:rsidP="00875496">
      <w:pPr>
        <w:spacing w:before="60" w:line="269" w:lineRule="auto"/>
        <w:ind w:firstLine="709"/>
        <w:jc w:val="both"/>
        <w:rPr>
          <w:spacing w:val="-4"/>
        </w:rPr>
      </w:pPr>
      <w:r w:rsidRPr="00E54182">
        <w:rPr>
          <w:spacing w:val="-4"/>
        </w:rPr>
        <w:t xml:space="preserve">(5) </w:t>
      </w:r>
      <w:r w:rsidR="00E54182" w:rsidRPr="00E54182">
        <w:rPr>
          <w:spacing w:val="-4"/>
        </w:rPr>
        <w:t>P</w:t>
      </w:r>
      <w:r w:rsidRPr="00875496">
        <w:rPr>
          <w:spacing w:val="-4"/>
        </w:rPr>
        <w:t>hải gắn với tăng cường năng lực quản lý nhà nước, cơ chế phối hợp liên ngành và điều kiện bảo đảm thực thi, nhằm nâng cao hiệu quả nhận diện, phòng ngừa, ngăn chặn và kiểm soát các nguy cơ phổ biến và tài trợ phổ biến WMD.</w:t>
      </w:r>
    </w:p>
    <w:p w14:paraId="2A9E2331" w14:textId="565BD8FA" w:rsidR="00B14A5D" w:rsidRPr="00811177" w:rsidRDefault="00B14A5D" w:rsidP="00B14A5D">
      <w:pPr>
        <w:spacing w:before="60" w:line="269" w:lineRule="auto"/>
        <w:ind w:firstLine="709"/>
        <w:jc w:val="both"/>
        <w:rPr>
          <w:i/>
          <w:iCs/>
          <w:color w:val="000000" w:themeColor="text1"/>
          <w:lang w:val="vi-VN"/>
        </w:rPr>
      </w:pPr>
      <w:r w:rsidRPr="00811177">
        <w:rPr>
          <w:i/>
          <w:iCs/>
          <w:color w:val="000000" w:themeColor="text1"/>
          <w:lang w:val="vi-VN"/>
        </w:rPr>
        <w:t>1.2.3. Pháp lý</w:t>
      </w:r>
    </w:p>
    <w:p w14:paraId="651E3619" w14:textId="55D4BA72" w:rsidR="006C5211" w:rsidRDefault="006C5211" w:rsidP="00B14A5D">
      <w:pPr>
        <w:spacing w:before="80" w:line="269" w:lineRule="auto"/>
        <w:ind w:firstLine="720"/>
        <w:jc w:val="both"/>
        <w:rPr>
          <w:color w:val="000000" w:themeColor="text1"/>
        </w:rPr>
      </w:pPr>
      <w:r w:rsidRPr="006C5211">
        <w:rPr>
          <w:color w:val="000000" w:themeColor="text1"/>
        </w:rPr>
        <w:t xml:space="preserve">Pháp luật trong nước liên quan đến phòng, chống phổ biến và tài trợ phổ biến </w:t>
      </w:r>
      <w:r>
        <w:rPr>
          <w:color w:val="000000" w:themeColor="text1"/>
        </w:rPr>
        <w:t>WMD</w:t>
      </w:r>
      <w:r w:rsidRPr="006C5211">
        <w:rPr>
          <w:color w:val="000000" w:themeColor="text1"/>
        </w:rPr>
        <w:t xml:space="preserve"> hiện đã được hình thành ở nhiều lĩnh vực khác nhau, song chủ yếu theo hướng điều chỉnh chuyên ngành</w:t>
      </w:r>
      <w:r>
        <w:rPr>
          <w:color w:val="000000" w:themeColor="text1"/>
        </w:rPr>
        <w:t>; v</w:t>
      </w:r>
      <w:r w:rsidRPr="006C5211">
        <w:rPr>
          <w:color w:val="000000" w:themeColor="text1"/>
        </w:rPr>
        <w:t>ăn bản điều chỉnh trực tiếp là Nghị định số 81/2019/NĐ-CP. Bên cạnh đó, còn có nhiều văn bản pháp luật có liên quan như</w:t>
      </w:r>
      <w:r>
        <w:rPr>
          <w:color w:val="000000" w:themeColor="text1"/>
        </w:rPr>
        <w:t>:</w:t>
      </w:r>
      <w:r w:rsidRPr="006C5211">
        <w:rPr>
          <w:color w:val="000000" w:themeColor="text1"/>
        </w:rPr>
        <w:t xml:space="preserve"> Luật Phòng, chống rửa tiền năm 2022 và Nghị định số 19/2023/NĐ-CP quy định chi tiết thi hành; Luật Quản lý ngoại thương năm 2017; Luật Hải quan năm 2014; Luật Chuyển giao công nghệ năm 2017; Luật Khoa học, công nghệ và đổi mới sáng tạo năm 2025; Luật Hóa chất năm 2025; Luật Năng lượng nguyên tử năm 2025; Luật Công nghiệp quốc phòng, an ninh và động viên công nghiệp năm 2024; Luật Thanh tra năm 2025; Luật Xử lý vi phạm hành chính </w:t>
      </w:r>
      <w:r>
        <w:rPr>
          <w:color w:val="000000" w:themeColor="text1"/>
        </w:rPr>
        <w:t>..</w:t>
      </w:r>
      <w:r w:rsidRPr="006C5211">
        <w:rPr>
          <w:color w:val="000000" w:themeColor="text1"/>
        </w:rPr>
        <w:t xml:space="preserve">. Các văn bản này tạo cơ sở pháp lý cho việc quản lý từng hợp phần có liên quan, như </w:t>
      </w:r>
      <w:r w:rsidRPr="006C5211">
        <w:rPr>
          <w:color w:val="000000" w:themeColor="text1"/>
        </w:rPr>
        <w:lastRenderedPageBreak/>
        <w:t>kiểm soát vật liệu, hóa chất, công nghệ, hoạt động xuất khẩu, nhập khẩu, hải quan, dòng tiền, thanh tra, kiểm tra, xử lý vi phạm và truy cứu trách nhiệm hình sự. Tuy nhiên, xét trên tổng thể, các quy định hiện hành vẫn còn phân tán, thiếu tính liên thông, chưa được thiết kế thành một khuôn khổ pháp lý thống nhất để điều chỉnh toàn diện toàn bộ chuỗi hoạt động có nguy cơ liên quan đến phổ biến và tài trợ phổ biến WMD.</w:t>
      </w:r>
    </w:p>
    <w:p w14:paraId="0555C7A9" w14:textId="1DCE2C07" w:rsidR="00811177" w:rsidRPr="00811177" w:rsidRDefault="00811177" w:rsidP="00B14A5D">
      <w:pPr>
        <w:spacing w:before="80" w:line="269" w:lineRule="auto"/>
        <w:ind w:firstLine="720"/>
        <w:jc w:val="both"/>
        <w:rPr>
          <w:color w:val="000000" w:themeColor="text1"/>
        </w:rPr>
      </w:pPr>
      <w:r w:rsidRPr="00811177">
        <w:rPr>
          <w:color w:val="000000" w:themeColor="text1"/>
        </w:rPr>
        <w:t xml:space="preserve">Điểm thiếu cơ bản của hệ thống pháp luật hiện hành là chưa có cơ chế pháp lý thống nhất, liên thông và dựa trên quản trị rủi ro để kết nối các khâu từ nghiên cứu, phát triển, sản xuất, lưu giữ, chuyển giao công nghệ, xuất khẩu, nhập khẩu, trung chuyển, vận chuyển, thanh toán đến kiểm tra, thanh tra và xử lý vi phạm. Đặc biệt, khung pháp lý hiện hành chưa xác lập đầy đủ một cơ chế riêng, đồng bộ ở cấp luật về kiểm soát hàng hóa, công nghệ và dữ liệu kỹ thuật lưỡng dụng; thẩm tra người sử dụng cuối; chia sẻ thông tin liên ngành; và áp dụng các biện pháp trừng phạt tài chính mục tiêu đối với phổ biến WMD theo yêu cầu thực thi không chậm trễ. </w:t>
      </w:r>
    </w:p>
    <w:p w14:paraId="1C658FD2" w14:textId="097BD9B2" w:rsidR="00811177" w:rsidRPr="00811177" w:rsidRDefault="00811177" w:rsidP="00B14A5D">
      <w:pPr>
        <w:spacing w:before="80" w:line="269" w:lineRule="auto"/>
        <w:ind w:firstLine="720"/>
        <w:jc w:val="both"/>
        <w:rPr>
          <w:color w:val="000000" w:themeColor="text1"/>
        </w:rPr>
      </w:pPr>
      <w:r w:rsidRPr="00811177">
        <w:rPr>
          <w:color w:val="000000" w:themeColor="text1"/>
        </w:rPr>
        <w:t xml:space="preserve">Sự thiếu hụt này dẫn đến hệ quả là trách nhiệm pháp lý và cơ chế phối hợp giữa các cơ quan quản lý, lực lượng thực thi và hệ thống tài chính chưa được xác lập theo một quy trình thống nhất; việc nhận diện, ngăn chặn và xử lý các giao dịch, công nghệ, lô hàng và chủ thể rủi ro cao có thể bị chậm, chồng chéo hoặc bỏ sót; đồng thời làm giảm khả năng đáp ứng đầy đủ các chuẩn mực quốc tế về chống tài trợ phổ biến WMD. </w:t>
      </w:r>
    </w:p>
    <w:p w14:paraId="2343FD63" w14:textId="33AB021A" w:rsidR="00811177" w:rsidRPr="00811177" w:rsidRDefault="00811177" w:rsidP="00B14A5D">
      <w:pPr>
        <w:spacing w:before="80" w:line="269" w:lineRule="auto"/>
        <w:ind w:firstLine="720"/>
        <w:jc w:val="both"/>
        <w:rPr>
          <w:color w:val="000000" w:themeColor="text1"/>
        </w:rPr>
      </w:pPr>
      <w:r w:rsidRPr="00811177">
        <w:rPr>
          <w:color w:val="000000" w:themeColor="text1"/>
        </w:rPr>
        <w:t>Cùng với đó, theo yêu cầu của Hội đồng Bảo an Liên hợp quốc về việc các quốc gia phải ban hành pháp luật và thiết lập cơ chế kiểm soát trong nước để ngăn ngừa phổ biến WMD, cũng như Khuyến nghị số 7 của FATF về áp dụng trừng phạt tài chính mục tiêu để thực hiện các nghị quyết liên quan của Hội đồng Bảo an Liên hợp quốc, pháp luật hiện hành còn thiếu ba nhóm quy định cốt lõi: (</w:t>
      </w:r>
      <w:r w:rsidR="006C5211">
        <w:rPr>
          <w:color w:val="000000" w:themeColor="text1"/>
        </w:rPr>
        <w:t>1</w:t>
      </w:r>
      <w:r w:rsidRPr="00811177">
        <w:rPr>
          <w:color w:val="000000" w:themeColor="text1"/>
        </w:rPr>
        <w:t>) cơ chế kiểm soát thống nhất, dựa trên rủi ro đối với toàn bộ chuỗi hoạt động có nguy cơ, từ nghiên cứu, sản xuất, lưu giữ, chuyển giao công nghệ, xuất khẩu, nhập khẩu, trung chuyển, chuyển tải đến thanh toán và cung ứng dịch vụ tài chính; (</w:t>
      </w:r>
      <w:r w:rsidR="006C5211">
        <w:rPr>
          <w:color w:val="000000" w:themeColor="text1"/>
        </w:rPr>
        <w:t>2</w:t>
      </w:r>
      <w:r w:rsidRPr="00811177">
        <w:rPr>
          <w:color w:val="000000" w:themeColor="text1"/>
        </w:rPr>
        <w:t>) cơ chế pháp lý đầy đủ về đóng băng tài sản, ngăn cung cấp tiền, tài sản và dịch vụ tài chính đối với tổ chức, cá nhân bị chỉ định mà không chậm trễ; (</w:t>
      </w:r>
      <w:r w:rsidR="006C5211">
        <w:rPr>
          <w:color w:val="000000" w:themeColor="text1"/>
        </w:rPr>
        <w:t>3</w:t>
      </w:r>
      <w:r w:rsidRPr="00811177">
        <w:rPr>
          <w:color w:val="000000" w:themeColor="text1"/>
        </w:rPr>
        <w:t xml:space="preserve">) cơ chế phối hợp liên ngành, chia sẻ thông tin, thanh tra, kiểm tra và xử lý vi phạm theo một đầu mối và quy trình thống nhất. </w:t>
      </w:r>
    </w:p>
    <w:p w14:paraId="188CF1AD" w14:textId="77777777" w:rsidR="00E54182" w:rsidRPr="00E54182" w:rsidRDefault="00E54182" w:rsidP="00E54182">
      <w:pPr>
        <w:spacing w:before="60" w:line="269" w:lineRule="auto"/>
        <w:ind w:firstLine="720"/>
        <w:jc w:val="both"/>
        <w:rPr>
          <w:color w:val="000000" w:themeColor="text1"/>
        </w:rPr>
      </w:pPr>
      <w:r w:rsidRPr="00E54182">
        <w:rPr>
          <w:color w:val="000000" w:themeColor="text1"/>
        </w:rPr>
        <w:t>Từ bối cảnh pháp lý nêu trên, yêu cầu đặt ra đối với việc hoàn thiện chính sách về phòng, chống phổ biến và tài trợ phổ biến WMD là:</w:t>
      </w:r>
    </w:p>
    <w:p w14:paraId="722027DA" w14:textId="475D9C4B" w:rsidR="00E54182" w:rsidRPr="00E54182" w:rsidRDefault="00E54182" w:rsidP="00E54182">
      <w:pPr>
        <w:spacing w:before="60" w:line="269" w:lineRule="auto"/>
        <w:ind w:firstLine="720"/>
        <w:jc w:val="both"/>
        <w:rPr>
          <w:color w:val="000000" w:themeColor="text1"/>
        </w:rPr>
      </w:pPr>
      <w:r w:rsidRPr="00E54182">
        <w:rPr>
          <w:color w:val="000000" w:themeColor="text1"/>
        </w:rPr>
        <w:t xml:space="preserve">(1) </w:t>
      </w:r>
      <w:r>
        <w:rPr>
          <w:color w:val="000000" w:themeColor="text1"/>
        </w:rPr>
        <w:t>P</w:t>
      </w:r>
      <w:r w:rsidRPr="00E54182">
        <w:rPr>
          <w:color w:val="000000" w:themeColor="text1"/>
        </w:rPr>
        <w:t xml:space="preserve">hải xây dựng </w:t>
      </w:r>
      <w:r>
        <w:rPr>
          <w:color w:val="000000" w:themeColor="text1"/>
        </w:rPr>
        <w:t>khung</w:t>
      </w:r>
      <w:r w:rsidRPr="00E54182">
        <w:rPr>
          <w:color w:val="000000" w:themeColor="text1"/>
        </w:rPr>
        <w:t xml:space="preserve"> pháp lý thống nhất, đồng bộ, có hiệu lực pháp lý cao để điều chỉnh toàn diện hoạt động phòng, chống phổ biến và tài trợ phổ biến WMD, khắc phục tình trạng quy định còn phân tán, thiếu liên thông.</w:t>
      </w:r>
    </w:p>
    <w:p w14:paraId="56A5C444" w14:textId="1DD821D5" w:rsidR="00E54182" w:rsidRPr="00E54182" w:rsidRDefault="00E54182" w:rsidP="00E54182">
      <w:pPr>
        <w:spacing w:before="60" w:line="269" w:lineRule="auto"/>
        <w:ind w:firstLine="720"/>
        <w:jc w:val="both"/>
        <w:rPr>
          <w:color w:val="000000" w:themeColor="text1"/>
          <w:spacing w:val="-4"/>
        </w:rPr>
      </w:pPr>
      <w:r w:rsidRPr="00E54182">
        <w:rPr>
          <w:color w:val="000000" w:themeColor="text1"/>
          <w:spacing w:val="-4"/>
        </w:rPr>
        <w:lastRenderedPageBreak/>
        <w:t xml:space="preserve">(2) </w:t>
      </w:r>
      <w:r w:rsidRPr="00812BE8">
        <w:rPr>
          <w:color w:val="000000" w:themeColor="text1"/>
          <w:spacing w:val="-4"/>
        </w:rPr>
        <w:t>P</w:t>
      </w:r>
      <w:r w:rsidRPr="00E54182">
        <w:rPr>
          <w:color w:val="000000" w:themeColor="text1"/>
          <w:spacing w:val="-4"/>
        </w:rPr>
        <w:t>hải thiết lập cơ chế kiểm soát thống nhất, dựa trên quản trị rủi ro đối với toàn bộ chuỗi hoạt động có nguy cơ liên quan đến phổ biến và tài trợ phổ biến WMD, từ nghiên cứu, sản xuất, chuyển giao công nghệ, xuất khẩu, nhập khẩu, trung chuyển, vận chuyển, thanh toán đến thanh tra, kiểm tra và xử lý vi phạm.</w:t>
      </w:r>
    </w:p>
    <w:p w14:paraId="30673819" w14:textId="43E83659" w:rsidR="00E54182" w:rsidRPr="00E54182" w:rsidRDefault="00E54182" w:rsidP="00E54182">
      <w:pPr>
        <w:spacing w:before="60" w:line="269" w:lineRule="auto"/>
        <w:ind w:firstLine="720"/>
        <w:jc w:val="both"/>
        <w:rPr>
          <w:color w:val="000000" w:themeColor="text1"/>
        </w:rPr>
      </w:pPr>
      <w:r w:rsidRPr="00E54182">
        <w:rPr>
          <w:color w:val="000000" w:themeColor="text1"/>
        </w:rPr>
        <w:t xml:space="preserve">(3) </w:t>
      </w:r>
      <w:r w:rsidR="00812BE8">
        <w:rPr>
          <w:color w:val="000000" w:themeColor="text1"/>
        </w:rPr>
        <w:t>P</w:t>
      </w:r>
      <w:r w:rsidRPr="00E54182">
        <w:rPr>
          <w:color w:val="000000" w:themeColor="text1"/>
        </w:rPr>
        <w:t>hải bổ sung đầy đủ cơ sở pháp lý về kiểm soát hàng hóa, công nghệ và dữ liệu kỹ thuật lưỡng dụng, gồm cơ chế thẩm tra người sử dụng cuối và biện pháp kiểm soát đối với chủ thể, giao dịch, công nghệ và lô hàng có rủi ro cao.</w:t>
      </w:r>
    </w:p>
    <w:p w14:paraId="02DFF74B" w14:textId="60AB0DE1" w:rsidR="00E54182" w:rsidRPr="00E54182" w:rsidRDefault="00E54182" w:rsidP="00E54182">
      <w:pPr>
        <w:spacing w:before="60" w:line="269" w:lineRule="auto"/>
        <w:ind w:firstLine="720"/>
        <w:jc w:val="both"/>
        <w:rPr>
          <w:color w:val="000000" w:themeColor="text1"/>
        </w:rPr>
      </w:pPr>
      <w:r w:rsidRPr="00E54182">
        <w:rPr>
          <w:color w:val="000000" w:themeColor="text1"/>
        </w:rPr>
        <w:t xml:space="preserve">(4) </w:t>
      </w:r>
      <w:r w:rsidR="00812BE8">
        <w:rPr>
          <w:color w:val="000000" w:themeColor="text1"/>
        </w:rPr>
        <w:t>P</w:t>
      </w:r>
      <w:r w:rsidRPr="00E54182">
        <w:rPr>
          <w:color w:val="000000" w:themeColor="text1"/>
        </w:rPr>
        <w:t>hải thiết lập đầy đủ cơ chế pháp lý về trừng phạt tài chính mục tiêu đối với phổ biến WMD, bảo đảm việc đóng băng tài sản, ngăn chặn cung cấp tiền, tài sản và dịch vụ tài chính đối với tổ chức, cá nhân bị chỉ định được thực hiện kịp thời, thống nhất, đúng yêu cầu của Hội đồng Bảo an Liên hợp quốc và Khuyến nghị số 7 của FATF.</w:t>
      </w:r>
    </w:p>
    <w:p w14:paraId="651EB469" w14:textId="1D7F3537" w:rsidR="00E54182" w:rsidRPr="00E54182" w:rsidRDefault="00E54182" w:rsidP="00E54182">
      <w:pPr>
        <w:spacing w:before="60" w:line="269" w:lineRule="auto"/>
        <w:ind w:firstLine="720"/>
        <w:jc w:val="both"/>
        <w:rPr>
          <w:color w:val="000000" w:themeColor="text1"/>
        </w:rPr>
      </w:pPr>
      <w:r w:rsidRPr="00E54182">
        <w:rPr>
          <w:color w:val="000000" w:themeColor="text1"/>
        </w:rPr>
        <w:t xml:space="preserve">(5) </w:t>
      </w:r>
      <w:r w:rsidR="00640E64">
        <w:rPr>
          <w:color w:val="000000" w:themeColor="text1"/>
        </w:rPr>
        <w:t>P</w:t>
      </w:r>
      <w:r w:rsidRPr="00E54182">
        <w:rPr>
          <w:color w:val="000000" w:themeColor="text1"/>
        </w:rPr>
        <w:t>hải xác lập rõ cơ chế phối hợp liên ngành, chia sẻ thông tin, thanh tra, kiểm tra và xử lý vi phạm theo quy trình thống nhất, bảo đảm phân định rõ trách nhiệm giữa cơ quan quản lý nhà nước, lực lượng thực thi và hệ thống tài chính, nâng cao hiệu quả phát hiện, ngăn chặn và xử lý rủi ro phổ biến và tài trợ phổ biến WMD.</w:t>
      </w:r>
    </w:p>
    <w:p w14:paraId="76D4730F" w14:textId="31EF502E" w:rsidR="00B0461A" w:rsidRPr="00086837" w:rsidRDefault="00B0461A" w:rsidP="00E70D92">
      <w:pPr>
        <w:spacing w:before="60" w:line="269" w:lineRule="auto"/>
        <w:ind w:firstLine="720"/>
        <w:jc w:val="both"/>
        <w:rPr>
          <w:i/>
          <w:iCs/>
        </w:rPr>
      </w:pPr>
      <w:r w:rsidRPr="00086837">
        <w:rPr>
          <w:i/>
          <w:iCs/>
        </w:rPr>
        <w:t>1.2.4. Thực tiễn</w:t>
      </w:r>
    </w:p>
    <w:p w14:paraId="4D9BB6A1" w14:textId="3177E851" w:rsidR="00B0461A" w:rsidRPr="00086837" w:rsidRDefault="00B0461A" w:rsidP="0056297C">
      <w:pPr>
        <w:spacing w:before="60" w:line="276" w:lineRule="auto"/>
        <w:ind w:firstLine="720"/>
        <w:jc w:val="both"/>
        <w:rPr>
          <w:lang w:val="vi-VN"/>
        </w:rPr>
      </w:pPr>
      <w:r w:rsidRPr="00086837">
        <w:rPr>
          <w:lang w:val="vi-VN"/>
        </w:rPr>
        <w:t xml:space="preserve">Trong những năm qua, công tác lãnh đạo và chỉ đạo triển khai các quy định về phòng, chống phổ biến WMD đã được Đảng và Nhà nước đặc biệt quan tâm. Để </w:t>
      </w:r>
      <w:r w:rsidR="00B35C38" w:rsidRPr="00086837">
        <w:t xml:space="preserve">triển khai </w:t>
      </w:r>
      <w:r w:rsidRPr="00086837">
        <w:rPr>
          <w:lang w:val="vi-VN"/>
        </w:rPr>
        <w:t xml:space="preserve">Nghị định số 81/2019/NĐ-CP, Thủ tướng Chính phủ đã ban hành Quyết định số 432/QĐ-TTg ngày 27/3/2020 nhằm </w:t>
      </w:r>
      <w:r w:rsidR="00B35C38" w:rsidRPr="00086837">
        <w:t>tổ chức</w:t>
      </w:r>
      <w:r w:rsidRPr="00086837">
        <w:rPr>
          <w:lang w:val="vi-VN"/>
        </w:rPr>
        <w:t xml:space="preserve"> tuyên truyền, phổ biến nội dung</w:t>
      </w:r>
      <w:r w:rsidR="00B35C38" w:rsidRPr="00086837">
        <w:t>,</w:t>
      </w:r>
      <w:r w:rsidRPr="00086837">
        <w:rPr>
          <w:lang w:val="vi-VN"/>
        </w:rPr>
        <w:t xml:space="preserve"> rà soát và hoàn thiện hệ thống văn bản quy phạm pháp luật liên quan. Bên cạnh đó, các văn bản chiến lược như Quyết định số 828/QĐ-TTg, Quyết định số 941/QĐ-TTg và Quyết định số 194/QĐ-TTg đã tạo ra khung khổ hành động quốc gia để đánh giá rủi ro và ngăn chặn tài trợ phổ biến WMD trong giai đoạn 2021-2025. Trên cơ sở kế hoạch do Thủ tướng Chính phủ ban hành, các bộ, ngành, địa phương đã có những kế hoạch cụ thể triển khai có hiệu quả các hoạt động phòng, chống phổ biến WMD</w:t>
      </w:r>
      <w:r w:rsidRPr="00086837">
        <w:rPr>
          <w:rStyle w:val="FootnoteReference"/>
          <w:lang w:val="vi-VN"/>
        </w:rPr>
        <w:footnoteReference w:id="7"/>
      </w:r>
      <w:r w:rsidRPr="00086837">
        <w:rPr>
          <w:lang w:val="vi-VN"/>
        </w:rPr>
        <w:t>. Với vai trò là Cơ quan đầu mối quốc gia, Bộ Quốc phòng đã chủ động ban hành nhiều văn bản hướng dẫn về mặt chuyên môn, nghiệp vụ nhằm hướng các đơn vị đầu mối, các bộ, ngành thực hiện các nhiệm vụ liên quan đến phòng, chống phổ biến WMD; quy định về tổ chức, hoạt động, nhiệm vụ của các lực lượng chức năng, chuyên môn tham gia phòng, chống phổ biến WMD và đưa công tác báo cáo định kỳ đi vào nền nếp</w:t>
      </w:r>
      <w:r w:rsidRPr="00086837">
        <w:rPr>
          <w:rStyle w:val="FootnoteReference"/>
          <w:lang w:val="vi-VN"/>
        </w:rPr>
        <w:footnoteReference w:id="8"/>
      </w:r>
      <w:r w:rsidRPr="00086837">
        <w:rPr>
          <w:lang w:val="vi-VN"/>
        </w:rPr>
        <w:t>.</w:t>
      </w:r>
    </w:p>
    <w:p w14:paraId="69BA1088" w14:textId="3C794092" w:rsidR="00B0461A" w:rsidRPr="00086837" w:rsidRDefault="00B0461A" w:rsidP="0056297C">
      <w:pPr>
        <w:spacing w:before="60" w:line="276" w:lineRule="auto"/>
        <w:ind w:firstLine="720"/>
        <w:jc w:val="both"/>
        <w:rPr>
          <w:lang w:val="vi-VN"/>
        </w:rPr>
      </w:pPr>
      <w:r w:rsidRPr="00086837">
        <w:rPr>
          <w:lang w:val="vi-VN"/>
        </w:rPr>
        <w:lastRenderedPageBreak/>
        <w:t>Công tác thông tin, tuyên truyền được triển khai mạnh mẽ nhằm nâng cao nhận thức trách nhiệm cho mọi tầng lớp nhân dân và cán bộ công chức. Bộ Quốc phòng đã phê duyệt Đề án tuyên truyền Nghị định 81 giai đoạn 2021-2025, đồng thời lồng ghép nội dung này vào chương trình giáo dục chính trị cho toàn quân và lực lượng dân quân tự vệ; hằng năm, tổ chức các lớp tập huấn chuyên đề, chuyên sâu về phòng, chống phổ biến WMD dành cho các đối tượng; đưa vào hoạt động trang thông tin điện tử, cổng thông tin điện tử về phòng, chống phổ biến WMD</w:t>
      </w:r>
      <w:r w:rsidRPr="00086837">
        <w:rPr>
          <w:rStyle w:val="FootnoteReference"/>
          <w:lang w:val="vi-VN"/>
        </w:rPr>
        <w:footnoteReference w:id="9"/>
      </w:r>
      <w:r w:rsidRPr="00086837">
        <w:rPr>
          <w:lang w:val="vi-VN"/>
        </w:rPr>
        <w:t>; xây dựng, phát hành phim tài liệu, đẩy mạnh tuyên truyền về phòng, chống phổ biến WMD trên các phương tiện thông tin đại chúng</w:t>
      </w:r>
      <w:r w:rsidRPr="00086837">
        <w:rPr>
          <w:rStyle w:val="FootnoteReference"/>
          <w:lang w:val="vi-VN"/>
        </w:rPr>
        <w:footnoteReference w:id="10"/>
      </w:r>
      <w:r w:rsidRPr="00086837">
        <w:rPr>
          <w:lang w:val="vi-VN"/>
        </w:rPr>
        <w:t>. Các bộ, ngành địa phương cũng đã thường xuyên làm tốt công tác tuyên truyền, phổ biến, giáo dục pháp luật về phòng, chống phổ biến WMD</w:t>
      </w:r>
      <w:r w:rsidRPr="00086837">
        <w:rPr>
          <w:rStyle w:val="FootnoteReference"/>
          <w:lang w:val="vi-VN"/>
        </w:rPr>
        <w:footnoteReference w:id="11"/>
      </w:r>
      <w:r w:rsidRPr="00086837">
        <w:rPr>
          <w:lang w:val="vi-VN"/>
        </w:rPr>
        <w:t xml:space="preserve"> bằng nhiều hình thức như tổ chức hội thảo phổ biến, tập huấn, bồi dưỡng để nâng cao trình độ chuyên môn, nghiệp vụ và kỹ năng xây dựng kế hoạch ứng phó sự cố, tình huống về WMD. Các hoạt động thông tin, tuyên truyền đã góp phần nâng cao rõ rệt nhận thức, ý thức trách nhiệm của các cơ quan, tổ chức, cán bộ, đảng viên, nhân dân về WMD và hoạt động phòng, chống phổ biến WMD.</w:t>
      </w:r>
    </w:p>
    <w:p w14:paraId="22192DA4" w14:textId="4ED4CB36" w:rsidR="00B0461A" w:rsidRPr="00086837" w:rsidRDefault="00B0461A" w:rsidP="00E70D92">
      <w:pPr>
        <w:spacing w:before="60" w:line="269" w:lineRule="auto"/>
        <w:ind w:firstLine="720"/>
        <w:jc w:val="both"/>
        <w:rPr>
          <w:spacing w:val="-2"/>
          <w:lang w:val="vi-VN"/>
        </w:rPr>
      </w:pPr>
      <w:r w:rsidRPr="00086837">
        <w:rPr>
          <w:spacing w:val="-2"/>
          <w:lang w:val="vi-VN"/>
        </w:rPr>
        <w:t>Song song với công tác lãnh đạo, chỉ đạo và tuyên truyền, phổ biến, công tác tham mưu hoàn thiện hệ thống pháp luật đã đạt được nhiều bước tiến quan trọng. Bộ Quốc phòng đã chủ động nghiên cứu, đề xuất hình sự hóa tội phổ biến và tài trợ phổ biến WMD; bổ sung các quy định xử phạt vi phạm hành chính trong lĩnh vực phòng, chống phổ biến, tài trợ phổ biến WMD vào các nghị định xử phạt vi phạm hành chính trong các lĩnh vực chuyên ngành</w:t>
      </w:r>
      <w:r w:rsidRPr="00086837">
        <w:rPr>
          <w:rStyle w:val="FootnoteReference"/>
          <w:spacing w:val="-2"/>
          <w:lang w:val="vi-VN"/>
        </w:rPr>
        <w:footnoteReference w:id="12"/>
      </w:r>
      <w:r w:rsidRPr="00086837">
        <w:rPr>
          <w:spacing w:val="-2"/>
          <w:lang w:val="vi-VN"/>
        </w:rPr>
        <w:t xml:space="preserve">. Các bộ, ngành khác như </w:t>
      </w:r>
      <w:r w:rsidRPr="00086837">
        <w:rPr>
          <w:spacing w:val="-2"/>
          <w:lang w:val="vi-VN"/>
        </w:rPr>
        <w:lastRenderedPageBreak/>
        <w:t>Bộ Công an</w:t>
      </w:r>
      <w:r w:rsidRPr="00086837">
        <w:rPr>
          <w:rStyle w:val="FootnoteReference"/>
          <w:spacing w:val="-2"/>
          <w:lang w:val="vi-VN"/>
        </w:rPr>
        <w:footnoteReference w:id="13"/>
      </w:r>
      <w:r w:rsidRPr="00086837">
        <w:rPr>
          <w:spacing w:val="-2"/>
          <w:lang w:val="vi-VN"/>
        </w:rPr>
        <w:t>, Ngân hàng Nhà nước</w:t>
      </w:r>
      <w:r w:rsidRPr="00086837">
        <w:rPr>
          <w:rStyle w:val="FootnoteReference"/>
          <w:spacing w:val="-2"/>
          <w:lang w:val="vi-VN"/>
        </w:rPr>
        <w:footnoteReference w:id="14"/>
      </w:r>
      <w:r w:rsidRPr="00086837">
        <w:rPr>
          <w:spacing w:val="-2"/>
          <w:lang w:val="vi-VN"/>
        </w:rPr>
        <w:t xml:space="preserve"> và Bộ Công Thương</w:t>
      </w:r>
      <w:r w:rsidRPr="00086837">
        <w:rPr>
          <w:rStyle w:val="FootnoteReference"/>
          <w:spacing w:val="-2"/>
          <w:lang w:val="vi-VN"/>
        </w:rPr>
        <w:footnoteReference w:id="15"/>
      </w:r>
      <w:r w:rsidRPr="00086837">
        <w:rPr>
          <w:spacing w:val="-2"/>
          <w:lang w:val="vi-VN"/>
        </w:rPr>
        <w:t xml:space="preserve"> cũng đã ban hành nhiều thông tư, nghị định quan trọng nhằm quy định chi tiết việc phong tỏa tài sản, trì hoãn giao dịch liên quan đến danh sách đen và thực hiện nghiêm túc Công ước Cấm vũ khí hóa học (CWC). Những nỗ lực này không chỉ khẳng định quyết tâm của Việt Nam trong việc thực thi các điều ước quốc tế mà còn tăng cường tính hiệu lực, hiệu quả cho công tác quản lý nhà nước tại thực tiễn.</w:t>
      </w:r>
    </w:p>
    <w:p w14:paraId="3AF8A633" w14:textId="1688AFB1" w:rsidR="00B0461A" w:rsidRPr="00086837" w:rsidRDefault="00B0461A" w:rsidP="00E70D92">
      <w:pPr>
        <w:spacing w:before="60" w:line="269" w:lineRule="auto"/>
        <w:ind w:firstLine="720"/>
        <w:jc w:val="both"/>
        <w:rPr>
          <w:lang w:val="vi-VN"/>
        </w:rPr>
      </w:pPr>
      <w:r w:rsidRPr="00086837">
        <w:rPr>
          <w:lang w:val="vi-VN"/>
        </w:rPr>
        <w:t>Để đảm bảo khả năng ứng phó với các tình huống thực tế, công tác đào tạo và huấn luyện lực lượng chuyên môn được tổ chức hằng năm</w:t>
      </w:r>
      <w:r w:rsidRPr="00086837">
        <w:rPr>
          <w:rStyle w:val="FootnoteReference"/>
          <w:lang w:val="vi-VN"/>
        </w:rPr>
        <w:footnoteReference w:id="16"/>
      </w:r>
      <w:r w:rsidRPr="00086837">
        <w:rPr>
          <w:lang w:val="vi-VN"/>
        </w:rPr>
        <w:t>. Các hoạt động diễn tập ứng phó tình huống hóa học, sinh học, bức xạ và hạt nhân (CBRN) đã giúp nâng cao kỹ năng phối hợp hiệp đồng và xử lý sự cố cho các lực lượng</w:t>
      </w:r>
      <w:r w:rsidRPr="00086837">
        <w:rPr>
          <w:rStyle w:val="FootnoteReference"/>
          <w:lang w:val="vi-VN"/>
        </w:rPr>
        <w:footnoteReference w:id="17"/>
      </w:r>
      <w:r w:rsidRPr="00086837">
        <w:rPr>
          <w:lang w:val="vi-VN"/>
        </w:rPr>
        <w:t>. Bộ Quốc phòng đã chỉ đạo Cơ quan thường trực 81 phối hợp với các cơ quan của các bộ, ngành địa phương liên quan tổ chức các hoạt động tập huấn, huấn luyện nhằm nâng cao năng lực của các lực lượng chuyên môn, các cơ quan, đơn vị, tổ chức có liên quan trong giám sát, nhận diện, đấu tranh, xử lý, ứng phó WMD và thực hiện hoạt động phòng, chống phổ biến, tài trợ phổ biến WMD</w:t>
      </w:r>
      <w:r w:rsidRPr="00086837">
        <w:rPr>
          <w:rStyle w:val="FootnoteReference"/>
          <w:lang w:val="vi-VN"/>
        </w:rPr>
        <w:footnoteReference w:id="18"/>
      </w:r>
      <w:r w:rsidRPr="00086837">
        <w:rPr>
          <w:lang w:val="vi-VN"/>
        </w:rPr>
        <w:t xml:space="preserve">. Ngoài ra, cán bộ hải quan và ngân hàng cũng được trang bị kiến thức </w:t>
      </w:r>
      <w:r w:rsidRPr="00086837">
        <w:rPr>
          <w:lang w:val="vi-VN"/>
        </w:rPr>
        <w:lastRenderedPageBreak/>
        <w:t>chuyên sâu về kiểm soát hàng hóa lưỡng dụng và điều tra các hoạt động trốn tránh lệnh trừng phạt quốc tế; các tổ chức tài chính, tổ chức, cá nhân kinh doanh ngành nghề phi tài chính có liên quan được trang bị kiến thức chuyên môn phục vụ công tác công tác phòng, chống tài trợ phổ biến WMD.</w:t>
      </w:r>
    </w:p>
    <w:p w14:paraId="700CC027" w14:textId="77DD4F05" w:rsidR="00B0461A" w:rsidRPr="00086837" w:rsidRDefault="00B0461A" w:rsidP="00E70D92">
      <w:pPr>
        <w:spacing w:before="60" w:line="269" w:lineRule="auto"/>
        <w:ind w:firstLine="720"/>
        <w:jc w:val="both"/>
        <w:rPr>
          <w:spacing w:val="-2"/>
          <w:lang w:val="vi-VN"/>
        </w:rPr>
      </w:pPr>
      <w:r w:rsidRPr="00086837">
        <w:rPr>
          <w:spacing w:val="-2"/>
          <w:lang w:val="vi-VN"/>
        </w:rPr>
        <w:t>Hiệu quả của công tác phòng, chống phổ biến WMD còn dựa trên cơ chế phối hợp chặt chẽ giữa các bộ, ngành và địa phương. Một hệ thống thông tin liên lạc bao gồm đường dây nóng và trang điện tử đã được thiết lập để kết nối Bộ Quốc phòng, Bộ Công an và Ngân hàng Nhà nước, tạo điều kiện cho việc trao đổi dữ liệu và xác minh tài sản nghi ngờ. Nhiều quy chế phối hợp đã được ký kết, đơn cử như giữa Bộ đội Biên phòng và Cơ quan thanh tra, giám sát ngân hàng, nhằm giám sát việc tuân thủ pháp luật và ngăn chặn các nguy cơ từ biên giới. Tại các địa phương, chính quyền luôn chủ động phối hợp với các cơ quan trung ương trong việc tiếp nhận thông tin và thực hiện thanh tra, kiểm tra chuyên ngành.</w:t>
      </w:r>
    </w:p>
    <w:p w14:paraId="343478E7" w14:textId="5439F85D" w:rsidR="00B0461A" w:rsidRPr="00086837" w:rsidRDefault="00B0461A" w:rsidP="0056297C">
      <w:pPr>
        <w:spacing w:before="80" w:line="269" w:lineRule="auto"/>
        <w:ind w:firstLine="720"/>
        <w:jc w:val="both"/>
        <w:rPr>
          <w:lang w:val="vi-VN"/>
        </w:rPr>
      </w:pPr>
      <w:r w:rsidRPr="00086837">
        <w:rPr>
          <w:lang w:val="vi-VN"/>
        </w:rPr>
        <w:t>Trên bình diện quốc tế, Việt Nam tiếp tục khẳng định là thành viên trách nhiệm thông qua việc đa dạng hóa đối tác và tham gia sâu rộng vào các cơ chế đa phương. Các cơ quan chức năng đã hợp tác chặt chẽ với các tổ chức như IAEA, UNODA, INTERPOL và các chương trình kiểm soát xuất khẩu của EU, Hoa Kỳ tổ chức nhiều hoạt động hợp tác phục vụ công tác phòng, chống phổ biến WMD</w:t>
      </w:r>
      <w:r w:rsidRPr="00086837">
        <w:rPr>
          <w:rStyle w:val="FootnoteReference"/>
          <w:lang w:val="vi-VN"/>
        </w:rPr>
        <w:footnoteReference w:id="19"/>
      </w:r>
      <w:r w:rsidRPr="00086837">
        <w:rPr>
          <w:lang w:val="vi-VN"/>
        </w:rPr>
        <w:t xml:space="preserve">. Các hoạt động đối ngoại tại ASEAN, ARF và các hội nghị quốc tế đa phương khác đã giúp Việt Nam đề cao lập trường chống phổ biến WMD, </w:t>
      </w:r>
      <w:r w:rsidRPr="00086837">
        <w:rPr>
          <w:lang w:val="vi-VN"/>
        </w:rPr>
        <w:lastRenderedPageBreak/>
        <w:t>đồng thời đóng góp tích cực vào nỗ lực chung của cộng đồng quốc tế trong việc bảo đảm an ninh, an toàn hạt nhân và ứng dụng công nghệ vì mục đích hòa bình.</w:t>
      </w:r>
    </w:p>
    <w:p w14:paraId="5C0EFC93" w14:textId="65F22A88" w:rsidR="00B0461A" w:rsidRPr="00086837" w:rsidRDefault="00B0461A" w:rsidP="0056297C">
      <w:pPr>
        <w:spacing w:before="80" w:line="269" w:lineRule="auto"/>
        <w:ind w:firstLine="720"/>
        <w:jc w:val="both"/>
        <w:rPr>
          <w:lang w:val="vi-VN"/>
        </w:rPr>
      </w:pPr>
      <w:r w:rsidRPr="00086837">
        <w:rPr>
          <w:lang w:val="vi-VN"/>
        </w:rPr>
        <w:t>Bên cạnh các kết quả quan trọng đã đạt được ở trên, thực tiễn triển công tác phòng, chống phổ biến WMD còn gặp một số bất cập, cụ thể:</w:t>
      </w:r>
    </w:p>
    <w:p w14:paraId="45FC7841" w14:textId="4EAEB6CF" w:rsidR="00B0461A" w:rsidRPr="00086837" w:rsidRDefault="00B0461A" w:rsidP="0056297C">
      <w:pPr>
        <w:spacing w:before="80" w:line="269" w:lineRule="auto"/>
        <w:ind w:firstLine="720"/>
        <w:jc w:val="both"/>
        <w:rPr>
          <w:spacing w:val="-2"/>
          <w:lang w:val="vi-VN"/>
        </w:rPr>
      </w:pPr>
      <w:r w:rsidRPr="0031578E">
        <w:rPr>
          <w:b/>
          <w:bCs/>
          <w:i/>
          <w:iCs/>
          <w:spacing w:val="-2"/>
          <w:lang w:val="vi-VN"/>
        </w:rPr>
        <w:t>Thứ nhất</w:t>
      </w:r>
      <w:r w:rsidR="0031578E">
        <w:rPr>
          <w:b/>
          <w:bCs/>
          <w:i/>
          <w:iCs/>
          <w:spacing w:val="-2"/>
        </w:rPr>
        <w:t>,</w:t>
      </w:r>
      <w:r w:rsidRPr="00086837">
        <w:rPr>
          <w:spacing w:val="-2"/>
          <w:lang w:val="vi-VN"/>
        </w:rPr>
        <w:t xml:space="preserve"> là sự thiếu hụt về chế tài và danh mục hành vi bị cấm. Hệ thống pháp luật hiện hành chưa định nghĩa cụ thể các hành vi bị nghiêm cấm trong hoạt động phòng, chống phổ biến và tài trợ phổ biến WMD. Sự thiếu vắng các quy định mang tính nguyên tắc này đã trực tiếp hạn chế khả năng thực thi và xử lý vi phạm đối với các cá nhân, tổ chức. Đáng chú ý, Bộ luật Hình sự vẫn chưa tội phạm hóa hành vi phổ biến và tài trợ phổ biến WMD. Trong khi đó, các chế tài hành chính hiện mới chỉ dừng lại ở phạm vi hẹp (tài trợ phổ biến), chưa bao quát được các vi phạm trọng yếu khác như: vận chuyển trái phép, môi giới hàng hóa lưỡng dụng, vi phạm Chương trình tuân thủ nội bộ (ICP) hay sai phạm về giấy phép. Ngoài ra, việc thiếu hụt các khái niệm chuẩn hóa dẫn đến tình trạng hiểu không thống nhất, gây bất cập lớn trong quá trình triển khai thực tế.</w:t>
      </w:r>
    </w:p>
    <w:p w14:paraId="019E4230" w14:textId="1FA8007D" w:rsidR="00B0461A" w:rsidRPr="00086837" w:rsidRDefault="00B0461A" w:rsidP="0056297C">
      <w:pPr>
        <w:spacing w:before="80" w:line="269" w:lineRule="auto"/>
        <w:ind w:firstLine="720"/>
        <w:jc w:val="both"/>
        <w:rPr>
          <w:lang w:val="vi-VN"/>
        </w:rPr>
      </w:pPr>
      <w:r w:rsidRPr="0031578E">
        <w:rPr>
          <w:b/>
          <w:bCs/>
          <w:i/>
          <w:iCs/>
          <w:lang w:val="vi-VN"/>
        </w:rPr>
        <w:t>Thứ hai</w:t>
      </w:r>
      <w:r w:rsidR="0031578E">
        <w:rPr>
          <w:b/>
          <w:bCs/>
          <w:i/>
          <w:iCs/>
        </w:rPr>
        <w:t>,</w:t>
      </w:r>
      <w:r w:rsidRPr="00086837">
        <w:rPr>
          <w:lang w:val="vi-VN"/>
        </w:rPr>
        <w:t xml:space="preserve"> là khó khăn trong kiểm soát hàng hóa lưỡng dụng. Hiện nay, quy định pháp luật vẫn mới chỉ dừng lại ở các nguyên tắc chung mà chưa ban hành được danh mục hàng hóa lưỡng dụng chi tiết với các thông số kỹ thuật, mã hàng hóa và mô tả công nghệ cụ thể. Sự thiếu hụt này tạo ra “điểm mờ” lớn trong quản lý, dẫn đến nguy cơ các tổ chức, cá nhân có thể lợi dụng lỗ hổng để xuất khẩu các mặt hàng nhạy cảm dưới danh nghĩa hàng hóa thông thường. Bên cạnh đó, sự thiếu vắng một danh mục chuẩn hóa cùng các thiết bị kỹ thuật hiện đại đang gây áp lực lớn cho lực lượng thực thi trực tiếp, đặc biệt là cán bộ Hải quan cửa khẩu do khó khăn trong việc phân biệt giữa các thiết bị dân dụng bình thường với các thiết bị lưỡng dụng tiềm tàng nguy cơ phổ biến WMD. Điều này không chỉ làm giảm hiệu quả kiểm soát an ninh mà còn ảnh hưởng trực tiếp đến chuỗi cung ứng hàng hóa. Đặc biệt, trong bối cảnh Việt Nam đang đẩy mạnh phát triển công nghệ cao theo tinh thần Nghị quyết 57</w:t>
      </w:r>
      <w:r w:rsidR="00556047" w:rsidRPr="00086837">
        <w:t>-NQ/TW ngày 22/12/2024 của Ban Chấp hành Trung ương</w:t>
      </w:r>
      <w:r w:rsidRPr="00086837">
        <w:rPr>
          <w:lang w:val="vi-VN"/>
        </w:rPr>
        <w:t xml:space="preserve">, nhu cầu về các thiết bị và phần mềm tiên tiến phục vụ nghiên cứu, sản xuất là rất lớn. Tuy nhiên, việc chưa có danh mục kiểm soát chi tiết và minh bạch đã vô hình trung gây ra khó khăn cho các doanh nghiệp khi nhập khẩu các mặt hàng này từ các quốc gia có quy định kiểm soát đặc biệt. Sự e ngại từ phía nhà xuất khẩu quốc tế khi không thể xác định rõ cơ chế tuân thủ tại Việt Nam có thể làm chậm tiến trình đổi mới sáng tạo và chuyển đổi số quốc gia. </w:t>
      </w:r>
    </w:p>
    <w:p w14:paraId="2F5DE67B" w14:textId="0B27745C" w:rsidR="00B0461A" w:rsidRPr="00086837" w:rsidRDefault="00B0461A" w:rsidP="0056297C">
      <w:pPr>
        <w:spacing w:before="80" w:line="269" w:lineRule="auto"/>
        <w:ind w:firstLine="720"/>
        <w:jc w:val="both"/>
        <w:rPr>
          <w:lang w:val="vi-VN"/>
        </w:rPr>
      </w:pPr>
      <w:r w:rsidRPr="0031578E">
        <w:rPr>
          <w:b/>
          <w:bCs/>
          <w:i/>
          <w:iCs/>
          <w:lang w:val="vi-VN"/>
        </w:rPr>
        <w:t>Thứ ba</w:t>
      </w:r>
      <w:r w:rsidR="0031578E">
        <w:t>,</w:t>
      </w:r>
      <w:r w:rsidRPr="00086837">
        <w:rPr>
          <w:lang w:val="vi-VN"/>
        </w:rPr>
        <w:t xml:space="preserve"> là quy định hiện hành mới chỉ dừng lại ở mức độ nguyên tắc chung, chưa có sự phân tách đặc thù cho từng loại WMD. Thực tế cho thấy mỗi loại WMD đều có tính chất và mức độ nguy hiểm khác nhau đối với con người, </w:t>
      </w:r>
      <w:r w:rsidRPr="00086837">
        <w:rPr>
          <w:lang w:val="vi-VN"/>
        </w:rPr>
        <w:lastRenderedPageBreak/>
        <w:t>môi trường và cơ sở vật chất. Việc thiếu đi các quy định riêng biệt dẫn đến hệ quả không đánh giá sát thực tế mức độ rủi ro của từng loại, từ đó dễ áp dụng các biện pháp kiểm soát quá chặt chẽ một cách đại trà, làm tăng chi phí tuân thủ cho doanh nghiệp và giảm tính khả thi của pháp luật. Sự thiếu hụt này thể hiện rõ nhất trong lĩnh vực vũ khí sinh học. Mặc dù Việt Nam đã tham gia Công ước vũ khí sinh học, nhưng hệ thống pháp luật trong nước vẫn còn trống các quy định về quản lý và cấp phép đối với các tác nhân sinh học, độc tố nhạy cảm. Việc thiếu quy định đặc thù về kiểm soát hàng hóa lưỡng dụng phục vụ nghiên cứu và sản xuất riêng cho mảng sinh học khiến công tác phòng ngừa trở nên thiếu toàn diện. Điều này không chỉ gây khó khăn cho các cơ quan thực thi khi không có danh mục và quy trình kiểm tra cụ thể mà còn ảnh hưởng trực tiếp đến việc thực hiện các cam kết quốc tế của Việt Nam.</w:t>
      </w:r>
    </w:p>
    <w:p w14:paraId="405FDB9F" w14:textId="1D3D0028" w:rsidR="00B0461A" w:rsidRPr="00086837" w:rsidRDefault="00B0461A" w:rsidP="0056297C">
      <w:pPr>
        <w:spacing w:before="80" w:line="269" w:lineRule="auto"/>
        <w:ind w:firstLine="720"/>
        <w:jc w:val="both"/>
        <w:rPr>
          <w:lang w:val="vi-VN"/>
        </w:rPr>
      </w:pPr>
      <w:r w:rsidRPr="00086837">
        <w:rPr>
          <w:lang w:val="vi-VN"/>
        </w:rPr>
        <w:t>Bên cạnh những lỗ hổng về pháp lý, công tác phòng, chống phổ biến WMD trên thực tế còn gặp nhiều trở ngại lớn về cả nhận thức, nguồn lực và cơ chế vận hành. Trước hết, hoạt động tuyên truyền và phổ biến pháp luật tại nhiều nơi vẫn còn mang nặng tính hình thức, khẩu hiệu với nội dung hoặc quá sơ sài, hoặc quá phức tạp, gây khó khăn cho việc tiếp thu của cán bộ và người dân. Về nhân sự, đội ngũ thực hiện nhiệm vụ phần lớn là kiêm nhiệm, còn thiếu về số lượng và yếu về chuyên môn sâu cũng như kinh nghiệm thực tiễn để đáp ứng yêu cầu công việc phức tạp.</w:t>
      </w:r>
    </w:p>
    <w:p w14:paraId="5D81C773" w14:textId="3BFE6731" w:rsidR="00B0461A" w:rsidRDefault="00B0461A" w:rsidP="00E70D92">
      <w:pPr>
        <w:spacing w:before="60" w:line="269" w:lineRule="auto"/>
        <w:ind w:firstLine="720"/>
        <w:jc w:val="both"/>
      </w:pPr>
      <w:r w:rsidRPr="00086837">
        <w:rPr>
          <w:lang w:val="vi-VN"/>
        </w:rPr>
        <w:t xml:space="preserve">Đáng chú ý, dù bước đầu đã hình thành các cơ chế trao đổi thông tin, nhưng hiệu quả phối hợp giữa các cơ quan chức năng vẫn bị hạn chế đáng kể do thiếu hệ thống dữ liệu dùng chung. Sự ngắt kết nối này gây ra nhiều khó khăn trong việc chia sẻ thông tin tình báo và phối hợp xử lý các vụ việc về tài trợ phổ biến hay quản lý hàng hóa lưỡng dụng. </w:t>
      </w:r>
      <w:r w:rsidR="00D139BB" w:rsidRPr="00086837">
        <w:t>Bên cạnh</w:t>
      </w:r>
      <w:r w:rsidRPr="00086837">
        <w:rPr>
          <w:lang w:val="vi-VN"/>
        </w:rPr>
        <w:t xml:space="preserve"> đó, công tác thanh tra, kiểm tra cũng bộc lộ nhiều bất cập do thiếu các quy định hướng dẫn đầy đủ, dẫn đến hiệu lực thực thi trên thực tế chưa cao</w:t>
      </w:r>
      <w:r w:rsidR="00D139BB" w:rsidRPr="00086837">
        <w:t xml:space="preserve">; </w:t>
      </w:r>
      <w:r w:rsidRPr="00086837">
        <w:rPr>
          <w:lang w:val="vi-VN"/>
        </w:rPr>
        <w:t>sự đầu tư về nguồn lực vẫn chưa thực sự tương xứng với tính chất đặc thù của nhiệm vụ. Kinh phí dành cho nghiên cứu khoa học và trang bị các thiết bị kỹ thuật hiện đại, công nghệ cao còn rất hạn hẹp, ảnh hưởng trực tiếp đến hiệu quả giám sát và phát hiện vi phạm. Đặc biệt, chế độ đãi ngộ và chính sách bảo vệ cho lực lượng trực tiếp làm nhiệm vụ vẫn chưa được quan tâm đúng mức, mặc dù đây là lĩnh vực tiềm ẩn rủi ro rất cao đối với cả sức khỏe lẫn tinh thần của người thực hiện.</w:t>
      </w:r>
    </w:p>
    <w:p w14:paraId="44E24524" w14:textId="3D11FA4E" w:rsidR="00E553E6" w:rsidRPr="00E553E6" w:rsidRDefault="00E553E6" w:rsidP="00E553E6">
      <w:pPr>
        <w:spacing w:before="60" w:line="269" w:lineRule="auto"/>
        <w:ind w:firstLine="720"/>
        <w:jc w:val="both"/>
      </w:pPr>
      <w:r w:rsidRPr="00E553E6">
        <w:t>Từ thực tiễn triển khai công tác phòng, chống phổ biến và tài trợ phổ biến WMD nêu trên, yêu cầu đặt ra đối với việc hoàn thiện chính sách là:</w:t>
      </w:r>
    </w:p>
    <w:p w14:paraId="3783559D" w14:textId="2229846F" w:rsidR="00E553E6" w:rsidRPr="00E553E6" w:rsidRDefault="00E553E6" w:rsidP="00E553E6">
      <w:pPr>
        <w:spacing w:before="60" w:line="269" w:lineRule="auto"/>
        <w:ind w:firstLine="720"/>
        <w:jc w:val="both"/>
      </w:pPr>
      <w:r w:rsidRPr="00E553E6">
        <w:t xml:space="preserve">(1) </w:t>
      </w:r>
      <w:r>
        <w:t>P</w:t>
      </w:r>
      <w:r w:rsidRPr="00E553E6">
        <w:t>hải quy định rõ hành vi bị cấm và chế tài xử lý, bảo đảm đủ căn cứ pháp lý để phát hiện, ngăn chặn và xử lý vi phạm trong thực tiễn.</w:t>
      </w:r>
    </w:p>
    <w:p w14:paraId="44783237" w14:textId="6E322E1A" w:rsidR="00E553E6" w:rsidRPr="00E553E6" w:rsidRDefault="00E553E6" w:rsidP="00E553E6">
      <w:pPr>
        <w:spacing w:before="60" w:line="269" w:lineRule="auto"/>
        <w:ind w:firstLine="720"/>
        <w:jc w:val="both"/>
      </w:pPr>
      <w:r w:rsidRPr="00E553E6">
        <w:lastRenderedPageBreak/>
        <w:t xml:space="preserve">(2) </w:t>
      </w:r>
      <w:r>
        <w:t>P</w:t>
      </w:r>
      <w:r w:rsidRPr="00E553E6">
        <w:t>hải thiết lập cơ chế kiểm soát chặt chẽ đối với hàng hóa, công nghệ và dữ liệu kỹ thuật lưỡng dụng, nhất là xây dựng danh mục kiểm soát cụ thể, thống nhất và minh bạch.</w:t>
      </w:r>
    </w:p>
    <w:p w14:paraId="522B3B13" w14:textId="4B9FC312" w:rsidR="00E553E6" w:rsidRPr="00E553E6" w:rsidRDefault="00E553E6" w:rsidP="00E553E6">
      <w:pPr>
        <w:spacing w:before="60" w:line="269" w:lineRule="auto"/>
        <w:ind w:firstLine="720"/>
        <w:jc w:val="both"/>
      </w:pPr>
      <w:r w:rsidRPr="00E553E6">
        <w:t xml:space="preserve">(3) </w:t>
      </w:r>
      <w:r>
        <w:t>P</w:t>
      </w:r>
      <w:r w:rsidRPr="00E553E6">
        <w:t>hải quy định biện pháp quản lý phù hợp với đặc thù từng loại WMD, bảo đảm kiểm soát đúng trọng tâm, sát mức độ rủi ro và nâng cao tính khả thi trong tổ chức thực hiện.</w:t>
      </w:r>
    </w:p>
    <w:p w14:paraId="5F863299" w14:textId="0CFC9D7A" w:rsidR="00E553E6" w:rsidRPr="00E553E6" w:rsidRDefault="00E553E6" w:rsidP="00E553E6">
      <w:pPr>
        <w:spacing w:before="60" w:line="269" w:lineRule="auto"/>
        <w:ind w:firstLine="720"/>
        <w:jc w:val="both"/>
      </w:pPr>
      <w:r w:rsidRPr="00E553E6">
        <w:t xml:space="preserve">(4) </w:t>
      </w:r>
      <w:r>
        <w:t>P</w:t>
      </w:r>
      <w:r w:rsidRPr="00E553E6">
        <w:t>hải tăng cường hiệu quả tổ chức thực hiện, nhất là trong công tác tuyên truyền, đào tạo, tập huấn, thanh tra, kiểm tra và phối hợp giữa các cơ quan, tổ chức có liên quan.</w:t>
      </w:r>
    </w:p>
    <w:p w14:paraId="13311B02" w14:textId="1B713138" w:rsidR="00E553E6" w:rsidRPr="00E553E6" w:rsidRDefault="00E553E6" w:rsidP="00FC748B">
      <w:pPr>
        <w:spacing w:before="60" w:line="269" w:lineRule="auto"/>
        <w:ind w:firstLine="720"/>
        <w:jc w:val="both"/>
      </w:pPr>
      <w:r w:rsidRPr="00E553E6">
        <w:t xml:space="preserve">(5) </w:t>
      </w:r>
      <w:r>
        <w:t>P</w:t>
      </w:r>
      <w:r w:rsidRPr="00E553E6">
        <w:t>hải gắn với bảo đảm nguồn lực, dữ liệu, trang thiết bị kỹ thuật và chế độ cho lực lượng thực thi, đáp ứng yêu cầu giám sát, phát hiện, ứng phó và xử lý hiệu quả các nguy cơ phổ biến và tài trợ phổ biến WMD</w:t>
      </w:r>
    </w:p>
    <w:p w14:paraId="1608BE2C" w14:textId="77777777" w:rsidR="0001156A" w:rsidRPr="00086837" w:rsidRDefault="0001156A" w:rsidP="00E70D92">
      <w:pPr>
        <w:spacing w:before="60" w:line="269" w:lineRule="auto"/>
        <w:ind w:firstLine="720"/>
        <w:jc w:val="both"/>
        <w:rPr>
          <w:b/>
          <w:bCs/>
          <w:lang w:val="vi-VN"/>
        </w:rPr>
      </w:pPr>
      <w:r w:rsidRPr="00086837">
        <w:rPr>
          <w:b/>
          <w:bCs/>
          <w:lang w:val="vi-VN"/>
        </w:rPr>
        <w:t>2. Mục tiêu xây dựng chính sách</w:t>
      </w:r>
    </w:p>
    <w:p w14:paraId="68744B2A" w14:textId="77777777" w:rsidR="00032986" w:rsidRPr="00086837" w:rsidRDefault="00032986" w:rsidP="00E70D92">
      <w:pPr>
        <w:spacing w:before="60" w:line="269" w:lineRule="auto"/>
        <w:ind w:firstLine="720"/>
        <w:jc w:val="both"/>
        <w:rPr>
          <w:iCs/>
          <w:lang w:val="vi-VN"/>
        </w:rPr>
      </w:pPr>
      <w:r w:rsidRPr="00086837">
        <w:rPr>
          <w:iCs/>
          <w:lang w:val="vi-VN"/>
        </w:rPr>
        <w:t>2.1</w:t>
      </w:r>
      <w:r w:rsidR="00625785" w:rsidRPr="00086837">
        <w:rPr>
          <w:iCs/>
        </w:rPr>
        <w:t>.</w:t>
      </w:r>
      <w:r w:rsidRPr="00086837">
        <w:rPr>
          <w:iCs/>
          <w:lang w:val="vi-VN"/>
        </w:rPr>
        <w:t xml:space="preserve"> Mục tiêu chung</w:t>
      </w:r>
    </w:p>
    <w:p w14:paraId="2F561B80" w14:textId="06932EB6" w:rsidR="00714459" w:rsidRDefault="00714459" w:rsidP="00E70D92">
      <w:pPr>
        <w:spacing w:before="60" w:line="269" w:lineRule="auto"/>
        <w:ind w:firstLine="720"/>
        <w:jc w:val="both"/>
        <w:rPr>
          <w:iCs/>
        </w:rPr>
      </w:pPr>
      <w:r>
        <w:t>H</w:t>
      </w:r>
      <w:r w:rsidRPr="00714459">
        <w:t xml:space="preserve">oàn thiện </w:t>
      </w:r>
      <w:r w:rsidR="00FF724D">
        <w:t>khung</w:t>
      </w:r>
      <w:r w:rsidRPr="00714459">
        <w:t xml:space="preserve"> pháp lý thống nhất, đồng bộ, khả thi và có hiệu lực cao về phòng, chống phổ biến và tài trợ phổ biến </w:t>
      </w:r>
      <w:r>
        <w:t>WMD</w:t>
      </w:r>
      <w:r w:rsidRPr="00714459">
        <w:t>; khắc phục các khoảng trống, chồng chéo, thiếu liên thông của pháp luật hiện hành; tăng cường hiệu quả quản lý nhà nước, cơ chế phối hợp liên ngành và năng lực thực thi; bảo đảm kiểm soát chặt chẽ các hoạt động, hàng hóa, công nghệ, dữ liệu kỹ thuật và dòng tài chính có nguy cơ liên quan đến phổ biến và tài trợ phổ biến WMD; qua đó đáp ứng yêu cầu nội luật hóa các cam kết quốc tế, phòng ngừa, phát hiện, ngăn chặn và xử lý hiệu quả các nguy cơ trong thực tiễn, góp phần bảo vệ an ninh quốc gia, giữ vững môi trường hòa bình, ổn định và phục vụ phát triển đất nước.</w:t>
      </w:r>
      <w:r w:rsidRPr="00714459">
        <w:rPr>
          <w:iCs/>
          <w:lang w:val="vi-VN"/>
        </w:rPr>
        <w:t xml:space="preserve"> </w:t>
      </w:r>
    </w:p>
    <w:p w14:paraId="216310EE" w14:textId="6A508DA0" w:rsidR="004D48BF" w:rsidRPr="00086837" w:rsidRDefault="00FC34B0" w:rsidP="00E70D92">
      <w:pPr>
        <w:spacing w:before="60" w:line="269" w:lineRule="auto"/>
        <w:ind w:firstLine="720"/>
        <w:jc w:val="both"/>
        <w:rPr>
          <w:iCs/>
          <w:lang w:val="vi-VN"/>
        </w:rPr>
      </w:pPr>
      <w:r w:rsidRPr="00086837">
        <w:rPr>
          <w:iCs/>
          <w:lang w:val="vi-VN"/>
        </w:rPr>
        <w:t>2.2</w:t>
      </w:r>
      <w:r w:rsidR="00625785" w:rsidRPr="00086837">
        <w:rPr>
          <w:iCs/>
        </w:rPr>
        <w:t>.</w:t>
      </w:r>
      <w:r w:rsidRPr="00086837">
        <w:rPr>
          <w:iCs/>
          <w:lang w:val="vi-VN"/>
        </w:rPr>
        <w:t xml:space="preserve"> Mục tiêu cụ thể </w:t>
      </w:r>
    </w:p>
    <w:p w14:paraId="29338291" w14:textId="2D6AC221" w:rsidR="001A36C5" w:rsidRPr="001A36C5" w:rsidRDefault="001A36C5" w:rsidP="001A36C5">
      <w:pPr>
        <w:spacing w:before="60" w:line="269" w:lineRule="auto"/>
        <w:ind w:firstLine="720"/>
        <w:jc w:val="both"/>
      </w:pPr>
      <w:r>
        <w:t>-</w:t>
      </w:r>
      <w:r w:rsidRPr="001A36C5">
        <w:t xml:space="preserve"> Hoàn thiện khuôn khổ pháp lý thống nhất, đồng bộ và có hiệu lực pháp lý cao về phòng, chống phổ biến và tài trợ phổ biến WMD, khắc phục tình trạng quy định còn phân tán, thiếu liên thông và chưa bao quát đầy đủ các hoạt động có nguy cơ.</w:t>
      </w:r>
    </w:p>
    <w:p w14:paraId="3824AFB8" w14:textId="492B71B8" w:rsidR="001A36C5" w:rsidRPr="001A36C5" w:rsidRDefault="001A36C5" w:rsidP="001A36C5">
      <w:pPr>
        <w:spacing w:before="60" w:line="269" w:lineRule="auto"/>
        <w:ind w:firstLine="720"/>
        <w:jc w:val="both"/>
      </w:pPr>
      <w:r>
        <w:t>-</w:t>
      </w:r>
      <w:r w:rsidRPr="001A36C5">
        <w:t xml:space="preserve"> Cụ thể hóa đầy đủ các hành vi bị nghiêm cấm và chế tài xử lý đối với hành vi phổ biến và tài trợ phổ biến WMD, bao gồm cả xử lý hình sự, xử lý vi phạm hành chính và các biện pháp xử lý khác theo quy định của pháp luật, bảo đảm đủ căn cứ pháp lý cho phòng ngừa, phát hiện, ngăn chặn và xử lý vi phạm.</w:t>
      </w:r>
    </w:p>
    <w:p w14:paraId="727604C6" w14:textId="4CD746B6" w:rsidR="001A36C5" w:rsidRPr="001A36C5" w:rsidRDefault="001A36C5" w:rsidP="001A36C5">
      <w:pPr>
        <w:spacing w:before="60" w:line="269" w:lineRule="auto"/>
        <w:ind w:firstLine="720"/>
        <w:jc w:val="both"/>
      </w:pPr>
      <w:r>
        <w:t>-</w:t>
      </w:r>
      <w:r w:rsidRPr="001A36C5">
        <w:t xml:space="preserve"> Thiết lập cơ chế kiểm soát chặt chẽ, minh bạch và khả thi đối với hàng hóa, công nghệ và dữ liệu kỹ thuật lưỡng dụng, bao gồm xây dựng danh mục kiểm soát cụ thể, cơ chế cấp phép, thẩm tra người sử dụng cuối, kiểm soát giao dịch, lô hàng và chủ thể có rủi ro cao.</w:t>
      </w:r>
    </w:p>
    <w:p w14:paraId="34A22574" w14:textId="55CAD7C6" w:rsidR="001A36C5" w:rsidRPr="001A36C5" w:rsidRDefault="005E34C1" w:rsidP="001A36C5">
      <w:pPr>
        <w:spacing w:before="60" w:line="269" w:lineRule="auto"/>
        <w:ind w:firstLine="720"/>
        <w:jc w:val="both"/>
      </w:pPr>
      <w:r>
        <w:lastRenderedPageBreak/>
        <w:t>-</w:t>
      </w:r>
      <w:r w:rsidR="001A36C5" w:rsidRPr="001A36C5">
        <w:t xml:space="preserve"> Hoàn thiện chính sách quản lý theo đặc thù từng loại WMD và từng nhóm rủi ro, bảo đảm biện pháp kiểm soát phù hợp với tính chất, mức độ nguy hiểm và yêu cầu quản lý của từng lĩnh vực, nhất là đối với tác nhân sinh học, độc tố, hóa chất, vật liệu hạt nhân và công nghệ nhạy cảm.</w:t>
      </w:r>
    </w:p>
    <w:p w14:paraId="4B83A0FE" w14:textId="531E4BC9" w:rsidR="001A36C5" w:rsidRPr="001A36C5" w:rsidRDefault="005E34C1" w:rsidP="001A36C5">
      <w:pPr>
        <w:spacing w:before="60" w:line="269" w:lineRule="auto"/>
        <w:ind w:firstLine="720"/>
        <w:jc w:val="both"/>
      </w:pPr>
      <w:r>
        <w:t>-</w:t>
      </w:r>
      <w:r w:rsidR="001A36C5" w:rsidRPr="001A36C5">
        <w:t xml:space="preserve"> Hoàn thiện cơ chế pháp lý về phòng, chống tài trợ phổ biến WMD, nhất là cơ chế trừng phạt tài chính mục tiêu, đóng băng tài sản, ngăn chặn việc cung cấp tiền, tài sản và dịch vụ tài chính cho tổ chức, cá nhân bị chỉ định theo quy định của Liên hợp quốc và chuẩn mực quốc tế.</w:t>
      </w:r>
    </w:p>
    <w:p w14:paraId="13C3FF8D" w14:textId="6F268B93" w:rsidR="001A36C5" w:rsidRPr="001A36C5" w:rsidRDefault="005E34C1" w:rsidP="001A36C5">
      <w:pPr>
        <w:spacing w:before="60" w:line="269" w:lineRule="auto"/>
        <w:ind w:firstLine="720"/>
        <w:jc w:val="both"/>
      </w:pPr>
      <w:r>
        <w:t>-</w:t>
      </w:r>
      <w:r w:rsidR="001A36C5" w:rsidRPr="001A36C5">
        <w:t xml:space="preserve"> Tăng cường cơ chế phối hợp liên ngành, chia sẻ thông tin và sử dụng dữ liệu dùng chung giữa các cơ quan quản lý nhà nước, lực lượng thực thi và hệ thống tài chính, bảo đảm phát hiện sớm, xử lý kịp thời, thống nhất và hiệu quả các nguy cơ liên quan đến phổ biến và tài trợ phổ biến WMD.</w:t>
      </w:r>
    </w:p>
    <w:p w14:paraId="612F7E71" w14:textId="17934806" w:rsidR="001A36C5" w:rsidRPr="001A36C5" w:rsidRDefault="005E34C1" w:rsidP="001A36C5">
      <w:pPr>
        <w:spacing w:before="60" w:line="269" w:lineRule="auto"/>
        <w:ind w:firstLine="720"/>
        <w:jc w:val="both"/>
      </w:pPr>
      <w:r>
        <w:t>-</w:t>
      </w:r>
      <w:r w:rsidR="001A36C5" w:rsidRPr="001A36C5">
        <w:t xml:space="preserve"> Nâng cao hiệu quả tổ chức thực hiện chính sách, nhất là trong công tác tuyên truyền, phổ biến pháp luật, đào tạo, tập huấn, thanh tra, kiểm tra, giám sát và hướng dẫn nghiệp vụ, bảo đảm nâng cao nhận thức, năng lực chuyên môn và tính thống nhất trong áp dụng pháp luật.</w:t>
      </w:r>
    </w:p>
    <w:p w14:paraId="7612940F" w14:textId="6F07889E" w:rsidR="001A36C5" w:rsidRPr="001A36C5" w:rsidRDefault="005E34C1" w:rsidP="001A36C5">
      <w:pPr>
        <w:spacing w:before="60" w:line="269" w:lineRule="auto"/>
        <w:ind w:firstLine="720"/>
        <w:jc w:val="both"/>
      </w:pPr>
      <w:r>
        <w:t>-</w:t>
      </w:r>
      <w:r w:rsidR="001A36C5" w:rsidRPr="001A36C5">
        <w:t xml:space="preserve"> Bảo đảm nguồn lực, cơ sở dữ liệu, trang thiết bị kỹ thuật và đầu tư cho hoạt động nghiên cứu, giám sát, kiểm soát và ứng phó, đáp ứng yêu cầu phát hiện, ngăn chặn và xử lý các hành vi phổ biến và tài trợ phổ biến WMD trong thực tiễn.</w:t>
      </w:r>
    </w:p>
    <w:p w14:paraId="03323DB1" w14:textId="77777777" w:rsidR="005E34C1" w:rsidRDefault="005E34C1" w:rsidP="005E34C1">
      <w:pPr>
        <w:spacing w:before="60" w:line="269" w:lineRule="auto"/>
        <w:ind w:firstLine="720"/>
        <w:jc w:val="both"/>
      </w:pPr>
      <w:r>
        <w:t>-</w:t>
      </w:r>
      <w:r w:rsidR="001A36C5" w:rsidRPr="001A36C5">
        <w:t xml:space="preserve"> Hoàn thiện chế độ, chính sách đối với lực lượng thực thi và lực lượng chuyên môn trực tiếp, bảo đảm đào tạo, bồi dưỡng, đãi ngộ, điều kiện công tác và cơ chế bảo vệ phù hợp với tính chất đặc thù, mức độ nguy hiểm và yêu cầu chuyên môn cao của nhiệm vụ.</w:t>
      </w:r>
    </w:p>
    <w:p w14:paraId="0FBBBD76" w14:textId="77777777" w:rsidR="00AF5963" w:rsidRDefault="005E34C1" w:rsidP="00AF5963">
      <w:pPr>
        <w:spacing w:before="60" w:line="269" w:lineRule="auto"/>
        <w:ind w:firstLine="720"/>
        <w:jc w:val="both"/>
      </w:pPr>
      <w:r>
        <w:t xml:space="preserve">- </w:t>
      </w:r>
      <w:r w:rsidR="001A36C5" w:rsidRPr="001A36C5">
        <w:t>Bảo đảm hài hòa giữa yêu cầu kiểm soát an ninh với yêu cầu phát triển kinh tế, khoa học, công nghệ, đổi mới sáng tạo và hội nhập quốc tế, vừa kiểm soát chặt chẽ nguy cơ phổ biến WMD, vừa tạo cơ sở pháp lý minh bạch, ổn định, thuận lợi cho hoạt động hợp pháp của cơ quan, tổ chức, doanh nghiệp và cá nhân.</w:t>
      </w:r>
    </w:p>
    <w:p w14:paraId="6BF45C41" w14:textId="393A1249" w:rsidR="00AF5963" w:rsidRDefault="00AF5963" w:rsidP="00AF5963">
      <w:pPr>
        <w:spacing w:before="60" w:line="269" w:lineRule="auto"/>
        <w:ind w:firstLine="720"/>
        <w:jc w:val="both"/>
      </w:pPr>
      <w:r w:rsidRPr="00AF5963">
        <w:t xml:space="preserve">Trên cơ sở mục tiêu chung và các mục tiêu cụ thể đã xác định, nhằm hoàn thiện khuôn khổ pháp lý, tăng cường hiệu lực, hiệu quả quản lý nhà nước và bảo đảm điều kiện tổ chức thực hiện công tác phòng, chống phổ biến </w:t>
      </w:r>
      <w:r w:rsidR="00C26203">
        <w:t>WMD</w:t>
      </w:r>
      <w:r w:rsidRPr="00AF5963">
        <w:t xml:space="preserve"> trong tình hình mới, Bộ Quốc phòng đề xuất xây dựng 03 chính sách sau đây:</w:t>
      </w:r>
    </w:p>
    <w:p w14:paraId="5366BD75" w14:textId="0B7D70FE" w:rsidR="00AF5963" w:rsidRDefault="00C80A2C" w:rsidP="00AF5963">
      <w:pPr>
        <w:spacing w:before="60" w:line="269" w:lineRule="auto"/>
        <w:ind w:firstLine="720"/>
        <w:jc w:val="both"/>
      </w:pPr>
      <w:r>
        <w:t xml:space="preserve">- </w:t>
      </w:r>
      <w:r w:rsidR="00AF5963" w:rsidRPr="00AF5963">
        <w:rPr>
          <w:lang w:val="vi-VN"/>
        </w:rPr>
        <w:t xml:space="preserve">Chính sách 1: </w:t>
      </w:r>
      <w:r w:rsidR="00AF5963" w:rsidRPr="00AF5963">
        <w:t>Hoàn thiện nguyên tắc phòng, chống phổ biến vũ khí hủy diệt hàng loạt bảo đảm đáp ứng yêu cầu bảo vệ quyền con người, quyền công dân theo quy định của Hiến pháp và điều ước quốc tế liên quan</w:t>
      </w:r>
      <w:r w:rsidR="00AF5963">
        <w:t>.</w:t>
      </w:r>
    </w:p>
    <w:p w14:paraId="7241D10E" w14:textId="37E730D8" w:rsidR="00AF5963" w:rsidRDefault="00C80A2C" w:rsidP="00AF5963">
      <w:pPr>
        <w:spacing w:before="60" w:line="269" w:lineRule="auto"/>
        <w:ind w:firstLine="720"/>
        <w:jc w:val="both"/>
      </w:pPr>
      <w:r>
        <w:t xml:space="preserve">- </w:t>
      </w:r>
      <w:r w:rsidR="00AF5963" w:rsidRPr="00AF5963">
        <w:t>Chính sách 2: Tăng cường biện pháp quản lý, kiểm soát đặc thù các hoạt động có nguy cơ dẫn đến phổ biến vũ khí hủy diệt hàng loạt</w:t>
      </w:r>
      <w:r w:rsidR="00AF5963">
        <w:t>.</w:t>
      </w:r>
    </w:p>
    <w:p w14:paraId="5CD21662" w14:textId="121E63A5" w:rsidR="00AF5963" w:rsidRPr="001A36C5" w:rsidRDefault="00C80A2C" w:rsidP="00AF5963">
      <w:pPr>
        <w:spacing w:before="60" w:line="269" w:lineRule="auto"/>
        <w:ind w:firstLine="720"/>
        <w:jc w:val="both"/>
      </w:pPr>
      <w:r>
        <w:lastRenderedPageBreak/>
        <w:t xml:space="preserve">- </w:t>
      </w:r>
      <w:r w:rsidR="00AF5963" w:rsidRPr="00AF5963">
        <w:rPr>
          <w:lang w:val="vi-VN"/>
        </w:rPr>
        <w:t>Chính sách 3: Hoàn thiện cơ chế tổ chức thực thi, nguồn lực phòng, chống phổ biến vũ khí hủy diệt hàng loạt</w:t>
      </w:r>
      <w:r w:rsidR="00AF5963">
        <w:t>.</w:t>
      </w:r>
    </w:p>
    <w:p w14:paraId="1C7BDC1C" w14:textId="77777777" w:rsidR="00F5781F" w:rsidRDefault="00F33B58" w:rsidP="00F5781F">
      <w:pPr>
        <w:spacing w:before="60" w:line="269" w:lineRule="auto"/>
        <w:ind w:firstLine="720"/>
        <w:jc w:val="both"/>
      </w:pPr>
      <w:r w:rsidRPr="00086837">
        <w:rPr>
          <w:b/>
          <w:bCs/>
          <w:lang w:val="vi-VN"/>
        </w:rPr>
        <w:t>II. ĐÁNH GIÁ TÁC ĐỘNG CỦA CHÍNH SÁCH</w:t>
      </w:r>
    </w:p>
    <w:p w14:paraId="6D021BB1" w14:textId="74A5ECD7" w:rsidR="00F33B58" w:rsidRPr="00F5781F" w:rsidRDefault="00F33B58" w:rsidP="00F5781F">
      <w:pPr>
        <w:spacing w:before="60" w:line="269" w:lineRule="auto"/>
        <w:ind w:firstLine="720"/>
        <w:jc w:val="both"/>
        <w:rPr>
          <w:lang w:val="vi-VN"/>
        </w:rPr>
      </w:pPr>
      <w:r w:rsidRPr="00086837">
        <w:rPr>
          <w:b/>
          <w:bCs/>
          <w:lang w:val="vi-VN"/>
        </w:rPr>
        <w:t xml:space="preserve">1. Chính sách 1: </w:t>
      </w:r>
      <w:r w:rsidRPr="00086837">
        <w:rPr>
          <w:b/>
          <w:bCs/>
        </w:rPr>
        <w:t>Hoàn thiện nguyên tắc phòng, chống phổ biến vũ khí hủy diệt hàng loạt bảo đảm đáp ứng yêu cầu bảo vệ quyền con người, quyền công dân theo quy định của Hiến pháp và điều ước quốc tế liên quan</w:t>
      </w:r>
    </w:p>
    <w:p w14:paraId="04ED3750" w14:textId="3D93974B" w:rsidR="00F33B58" w:rsidRPr="00A4513F" w:rsidRDefault="00F33B58" w:rsidP="00F33B58">
      <w:pPr>
        <w:spacing w:before="60" w:line="269" w:lineRule="auto"/>
        <w:ind w:firstLine="720"/>
        <w:jc w:val="both"/>
        <w:rPr>
          <w:bCs/>
        </w:rPr>
      </w:pPr>
      <w:r w:rsidRPr="00A4513F">
        <w:t xml:space="preserve">1.1. </w:t>
      </w:r>
      <w:r w:rsidR="00A4513F" w:rsidRPr="00A4513F">
        <w:rPr>
          <w:bCs/>
        </w:rPr>
        <w:t>Xác định vấn đề</w:t>
      </w:r>
    </w:p>
    <w:p w14:paraId="7DD39074" w14:textId="3063BF75" w:rsidR="00A4513F" w:rsidRPr="00521EB5" w:rsidRDefault="00A4513F" w:rsidP="00F33B58">
      <w:pPr>
        <w:spacing w:before="60" w:line="269" w:lineRule="auto"/>
        <w:ind w:firstLine="720"/>
        <w:jc w:val="both"/>
        <w:rPr>
          <w:bCs/>
          <w:i/>
          <w:iCs/>
        </w:rPr>
      </w:pPr>
      <w:r w:rsidRPr="00521EB5">
        <w:rPr>
          <w:bCs/>
          <w:i/>
          <w:iCs/>
        </w:rPr>
        <w:t>1.1.1. Các vấn đề bất cập</w:t>
      </w:r>
    </w:p>
    <w:p w14:paraId="55654F8F" w14:textId="5AD8EFE0" w:rsidR="00173631" w:rsidRPr="00D31EE8" w:rsidRDefault="00173631" w:rsidP="00A4513F">
      <w:pPr>
        <w:spacing w:before="60" w:line="269" w:lineRule="auto"/>
        <w:ind w:firstLine="720"/>
        <w:jc w:val="both"/>
      </w:pPr>
      <w:r w:rsidRPr="00D31EE8">
        <w:rPr>
          <w:b/>
          <w:bCs/>
          <w:i/>
          <w:iCs/>
        </w:rPr>
        <w:t>Thứ nhất,</w:t>
      </w:r>
      <w:r w:rsidRPr="00D31EE8">
        <w:t xml:space="preserve"> các nguyên tắc nền tảng về phòng, chống phổ biến và tài trợ phổ biến WMD, gắn với bảo vệ quyền con người, quyền công dân chưa được thể hiện đầy đủ, thống nhất và rõ ràng.</w:t>
      </w:r>
    </w:p>
    <w:p w14:paraId="5F6AEA43" w14:textId="25D43AE2" w:rsidR="00173631" w:rsidRPr="00D31EE8" w:rsidRDefault="00173631" w:rsidP="00A4513F">
      <w:pPr>
        <w:spacing w:before="60" w:line="269" w:lineRule="auto"/>
        <w:ind w:firstLine="720"/>
        <w:jc w:val="both"/>
      </w:pPr>
      <w:r w:rsidRPr="00D31EE8">
        <w:t xml:space="preserve">Hiện nay, pháp luật về phòng, chống phổ biến WMD của Việt Nam được điều chỉnh bởi Nghị định số 81/2019/NĐ-CP và các quy định phân tán trong pháp luật chuyên ngành. Trong khi đó, khoản 2 Điều 14 Hiến pháp năm 2013 quy định quyền con người, quyền công dân chỉ bị hạn chế theo quy định của luật và chỉ trong trường hợp cần thiết vì lý do quốc phòng, an ninh quốc gia, trật tự, an toàn xã hội, đạo đức xã hội, sức khỏe cộng đồng; Hiến pháp đồng thời ghi nhận quyền về đời sống riêng tư, bí mật cá nhân, bí mật gia đình, quyền tiếp cận thông tin, quyền khiếu nại, tố cáo. Tuy nhiên, trong lĩnh vực này, các nội dung có tính nguyên tắc như căn cứ áp dụng biện pháp kiểm soát, điều kiện hạn chế quyền, giới hạn can thiệp của Nhà nước, yêu cầu về tính hợp pháp, cần thiết, tương xứng, đúng thẩm quyền, đúng trình tự, thủ tục và cơ chế bảo đảm quyền của tổ chức, cá nhân bị tác động chưa được xác định thật đầy đủ và nhất quán. Điều đó làm giảm tính minh bạch, tính thống nhất và tính dự liệu trong áp dụng pháp luật, nhất là khi áp dụng các biện pháp có thể ảnh hưởng trực tiếp đến quyền sở hữu, quyền tự do kinh doanh, quyền tiếp cận thông tin và quyền khiếu nại, khởi kiện. </w:t>
      </w:r>
    </w:p>
    <w:p w14:paraId="6472860D" w14:textId="7A170014" w:rsidR="00173631" w:rsidRPr="00D31EE8" w:rsidRDefault="00173631" w:rsidP="00A4513F">
      <w:pPr>
        <w:spacing w:before="60" w:line="269" w:lineRule="auto"/>
        <w:ind w:firstLine="720"/>
        <w:jc w:val="both"/>
        <w:rPr>
          <w:spacing w:val="-2"/>
        </w:rPr>
      </w:pPr>
      <w:r w:rsidRPr="00D31EE8">
        <w:rPr>
          <w:spacing w:val="-2"/>
        </w:rPr>
        <w:t xml:space="preserve">Về phương diện chuẩn mực quốc tế, Nghị quyết 1540 (2004) của Hội đồng Bảo an Liên hợp quốc yêu cầu các quốc gia ban hành và thực thi pháp luật có hiệu lực, đồng thời thiết lập các biện pháp kiểm soát trong nước để ngăn ngừa phổ biến WMD đối với chủ thể phi nhà nước. Công ước quốc tế về các quyền dân sự và chính trị (ICCPR) cũng đặt ra yêu cầu các quyền phải được bảo đảm bằng pháp luật và người bị xâm phạm quyền phải có biện pháp khắc phục hữu hiệu. </w:t>
      </w:r>
    </w:p>
    <w:p w14:paraId="6F57A704" w14:textId="32F2170A" w:rsidR="00162E09" w:rsidRDefault="00162E09" w:rsidP="00162E09">
      <w:pPr>
        <w:spacing w:before="60" w:line="269" w:lineRule="auto"/>
        <w:ind w:firstLine="720"/>
        <w:jc w:val="both"/>
      </w:pPr>
      <w:r w:rsidRPr="00D31EE8">
        <w:t xml:space="preserve">Đối chiếu với kinh nghiệm quốc tế cho thấy, nhiều quốc gia đã lựa chọn thiết kế pháp luật chuyên biệt hoặc có mức độ chuẩn hóa cao hơn đối với các nguyên tắc và phạm vi kiểm soát. Tại Singapore, Đạo luật Kiểm soát hàng hóa chiến lược năm 2002 (Strategic Goods Control Act 2002) được ban hành như một đạo luật riêng nhằm kiểm soát việc xuất khẩu, trung chuyển, quá cảnh, </w:t>
      </w:r>
      <w:r w:rsidRPr="00D31EE8">
        <w:lastRenderedPageBreak/>
        <w:t xml:space="preserve">chuyển giao công nghệ vô hình và hoạt động môi giới đối với hàng hóa chiến lược và công nghệ có liên quan; đồng thời áp dụng cả cơ chế “kiểm soát bao quát” (catch-all) đối với hàng hóa, công nghệ không nằm trong danh mục nhưng có khả năng được sử dụng cho mục đích chế tạo hoặc phổ biến </w:t>
      </w:r>
      <w:r w:rsidR="00B513B5">
        <w:t>WMD.</w:t>
      </w:r>
      <w:r w:rsidRPr="00D31EE8">
        <w:t xml:space="preserve"> Tại Philippines, Đạo luật số 10697 về quản lý thương mại chiến lược (Republic Act No. 10697 - Strategic Trade Management Act) xác định rõ chính sách của Nhà nước là bảo đảm lãnh thổ quốc gia không bị sử dụng cho các hoạt động liên quan đến </w:t>
      </w:r>
      <w:r w:rsidR="00B513B5">
        <w:t>WMD</w:t>
      </w:r>
      <w:r w:rsidRPr="00D31EE8">
        <w:t>, thực hiện Nghị quyết số 1540 của Hội đồng Bảo an Liên hợp quốc, thiết lập cơ chế kiểm soát trong nước, đồng thời tạo thuận lợi cho thương mại và đầu tư thông qua việc quản lý có trách nhiệm đối với hàng hóa chiến lược và các dịch vụ có liên quan. Những cách tiếp cận này cho thấy cần phải xác lập rõ các nguyên tắc nền tảng, phạm vi kiểm soát và giới hạn can thiệp của cơ quan công quyền ngay từ cấp chính sách nhằm nâng cao tính minh bạch và khả năng dự liệu cho các chủ thể có nghĩa vụ tuân thủ.</w:t>
      </w:r>
    </w:p>
    <w:p w14:paraId="459C285F" w14:textId="411C9EC5" w:rsidR="002F4DC9" w:rsidRDefault="002F4DC9" w:rsidP="00162E09">
      <w:pPr>
        <w:spacing w:before="60" w:line="269" w:lineRule="auto"/>
        <w:ind w:firstLine="720"/>
        <w:jc w:val="both"/>
      </w:pPr>
      <w:r w:rsidRPr="002F4DC9">
        <w:rPr>
          <w:b/>
          <w:bCs/>
          <w:i/>
          <w:iCs/>
        </w:rPr>
        <w:t>Thứ hai,</w:t>
      </w:r>
      <w:r w:rsidRPr="002F4DC9">
        <w:rPr>
          <w:b/>
          <w:bCs/>
        </w:rPr>
        <w:t xml:space="preserve"> </w:t>
      </w:r>
      <w:r w:rsidRPr="002F4DC9">
        <w:t xml:space="preserve">cơ chế bảo mật thông tin, minh bạch và giải trình trong lĩnh vực phòng, chống phổ biến và tài trợ phổ biến </w:t>
      </w:r>
      <w:r>
        <w:t>WMD</w:t>
      </w:r>
      <w:r w:rsidRPr="002F4DC9">
        <w:t xml:space="preserve"> chưa được xác lập theo một chuẩn nguyên tắc thống nhất.</w:t>
      </w:r>
    </w:p>
    <w:p w14:paraId="47EDA74B" w14:textId="5F81C113" w:rsidR="001A1CC9" w:rsidRPr="001A1CC9" w:rsidRDefault="001A1CC9" w:rsidP="001A1CC9">
      <w:pPr>
        <w:spacing w:before="60" w:line="269" w:lineRule="auto"/>
        <w:ind w:firstLine="720"/>
        <w:jc w:val="both"/>
      </w:pPr>
      <w:r w:rsidRPr="001A1CC9">
        <w:t xml:space="preserve">Phòng, chống phổ biến </w:t>
      </w:r>
      <w:r>
        <w:t>WMD</w:t>
      </w:r>
      <w:r w:rsidRPr="001A1CC9">
        <w:t xml:space="preserve"> là lĩnh vực gắn trực tiếp với quốc phòng, an ninh, bí mật nhà nước và hoạt động nghiệp vụ,</w:t>
      </w:r>
      <w:r>
        <w:t xml:space="preserve"> </w:t>
      </w:r>
      <w:r w:rsidRPr="001A1CC9">
        <w:t xml:space="preserve">yêu cầu bảo mật thông tin được đặt ra ở mức độ rất cao. Cơ sở pháp lý của yêu cầu này được thể hiện tại khoản 2 Điều 14 Hiến pháp năm 2013 về giới hạn quyền con người, quyền công dân trong trường hợp cần thiết vì lý do quốc phòng, an ninh quốc gia, trật tự, an toàn xã hội, đạo đức xã hội, sức khỏe cộng đồng; đồng thời Luật Bảo vệ bí mật nhà nước năm 2018 xác định bí mật nhà nước là thông tin chưa công khai, nếu bị lộ, bị mất có thể gây nguy hại đến lợi ích quốc gia, dân tộc và quy định việc bảo vệ bí mật nhà nước phải đúng mục đích, đúng thẩm quyền, đúng trình tự, thủ tục, không được lợi dụng để xâm phạm quyền, lợi ích hợp pháp của cơ quan, tổ chức, cá nhân. </w:t>
      </w:r>
    </w:p>
    <w:p w14:paraId="0337C3F6" w14:textId="03DC5363" w:rsidR="001A1CC9" w:rsidRPr="001A1CC9" w:rsidRDefault="001A1CC9" w:rsidP="001A1CC9">
      <w:pPr>
        <w:spacing w:before="60" w:line="269" w:lineRule="auto"/>
        <w:ind w:firstLine="720"/>
        <w:jc w:val="both"/>
        <w:rPr>
          <w:spacing w:val="-2"/>
        </w:rPr>
      </w:pPr>
      <w:r w:rsidRPr="0031578E">
        <w:rPr>
          <w:spacing w:val="-2"/>
        </w:rPr>
        <w:t>Tuy nhiên, ranh giới pháp lý giữa thông tin cần bảo mật với thông tin cần được công khai, thông báo hoặc giải trình để bảo đảm quyền, lợi ích hợp pháp của tổ chức, cá nhân trong lĩnh vực phòng, chống phổ biến và tài trợ phổ biến WMD hiện chưa được xác định rõ. Hiến pháp năm 2013 đồng thời ghi nhận quyền bất khả xâm phạm về đời sống riêng tư, bí mật cá nhân, bí mật gia đình; quyền tiếp cận thông tin; quyền khiếu nại, tố cáo. Luật Tiếp cận thông tin năm 2016 quy định</w:t>
      </w:r>
      <w:r w:rsidRPr="001A1CC9">
        <w:rPr>
          <w:spacing w:val="-2"/>
        </w:rPr>
        <w:t xml:space="preserve"> công dân được tiếp cận thông tin của cơ quan nhà nước, trừ thông tin không được tiếp cận hoặc được tiếp cận có điều kiện; khi từ chối cung cấp thông tin, cơ quan nhà nước phải trả lời bằng văn bản và nêu rõ lý do; công dân có quyền khiếu nại, khởi kiện, tố cáo hành vi vi phạm pháp luật về tiếp cận thông tin. Luật Khiếu nại năm 2011 cũng quy định người khiếu nại có quyền yêu cầu cung cấp thông tin, tài </w:t>
      </w:r>
      <w:r w:rsidRPr="001A1CC9">
        <w:rPr>
          <w:spacing w:val="-2"/>
        </w:rPr>
        <w:lastRenderedPageBreak/>
        <w:t xml:space="preserve">liệu liên quan, tham gia đối thoại, nhận quyết định giải quyết khiếu nại và khởi kiện vụ án hành chính theo quy định của pháp luật. </w:t>
      </w:r>
    </w:p>
    <w:p w14:paraId="0D65746F" w14:textId="2BAF38BA" w:rsidR="001A1CC9" w:rsidRPr="001A1CC9" w:rsidRDefault="001A1CC9" w:rsidP="001A1CC9">
      <w:pPr>
        <w:spacing w:before="60" w:line="269" w:lineRule="auto"/>
        <w:ind w:firstLine="720"/>
        <w:jc w:val="both"/>
      </w:pPr>
      <w:r w:rsidRPr="001A1CC9">
        <w:t xml:space="preserve">Bên cạnh đó, Nghị định số 13/2023/NĐ-CP đã thiết lập các nguyên tắc bảo vệ dữ liệu cá nhân, quyền của chủ thể dữ liệu, nghĩa vụ của bên xử lý dữ liệu và các trường hợp xử lý dữ liệu cá nhân không cần sự đồng ý của chủ thể dữ liệu, trong đó có các trường hợp liên quan đến quốc phòng, an ninh quốc gia, trật tự, an toàn xã hội theo quy định của pháp luật. Đồng thời, Nghị định số 81/2019/NĐ-CP xác lập khuôn khổ chung về phạm vi điều chỉnh, giải thích từ ngữ, nguyên tắc và trách nhiệm trong phòng, chống phổ biến </w:t>
      </w:r>
      <w:r>
        <w:t>WMD</w:t>
      </w:r>
      <w:r w:rsidRPr="001A1CC9">
        <w:t xml:space="preserve">, đồng thời dẫn chiếu áp dụng pháp luật có liên quan, điều ước quốc tế mà Việt Nam là thành viên và các nghị quyết liên quan của Hội đồng Bảo an Liên hợp quốc. Điều đó cho thấy, mặc dù pháp luật hiện hành đã có các quy định về tiếp cận thông tin, bảo vệ bí mật nhà nước, bảo vệ dữ liệu cá nhân và quyền khiếu nại, nhưng chưa hình thành một chuẩn nguyên tắc thống nhất, áp dụng riêng cho lĩnh vực phòng, chống phổ biến và tài trợ phổ biến </w:t>
      </w:r>
      <w:r>
        <w:t>WMD</w:t>
      </w:r>
      <w:r w:rsidRPr="001A1CC9">
        <w:t xml:space="preserve">. </w:t>
      </w:r>
    </w:p>
    <w:p w14:paraId="0830856B" w14:textId="6B6E8BB4" w:rsidR="001A1CC9" w:rsidRPr="001A1CC9" w:rsidRDefault="001A1CC9" w:rsidP="001A1CC9">
      <w:pPr>
        <w:spacing w:before="60" w:line="269" w:lineRule="auto"/>
        <w:ind w:firstLine="720"/>
        <w:jc w:val="both"/>
        <w:rPr>
          <w:spacing w:val="-2"/>
        </w:rPr>
      </w:pPr>
      <w:r w:rsidRPr="001A1CC9">
        <w:rPr>
          <w:spacing w:val="-2"/>
        </w:rPr>
        <w:t>Hệ quả là trong thực tiễn áp dụng, phạm vi thông tin bí mật có thể bị mở rộng quá mức cần thiết, trong khi tổ chức, cá nhân bị tác động lại gặp khó khăn trong việc tiếp cận thông tin cần thiết để thực hiện quyền tự bảo vệ, quyền khiếu nại, khởi kiện hoặc yêu cầu xem xét lại quyết định áp dụng biện pháp kiểm soát. Đây là khoảng trống cần được tiếp tục hoàn thiện về mặt chính sách nhằm xác lập rõ nguyên tắc phân loại thông tin, điều kiện hạn chế tiếp cận thông tin, nghĩa vụ thông báo, trách nhiệm giải trình của cơ quan có thẩm quyền, đồng thời bảo đảm hài hòa giữa yêu cầu bảo vệ bí mật nhà nước, an ninh quốc gia với yêu cầu bảo vệ quyền con người, quyền công dân theo Hiến pháp và pháp luật có liên quan.</w:t>
      </w:r>
    </w:p>
    <w:p w14:paraId="0EDB497D" w14:textId="5DE3BCCB" w:rsidR="001A1CC9" w:rsidRPr="00C42099" w:rsidRDefault="00C42099" w:rsidP="00162E09">
      <w:pPr>
        <w:spacing w:before="60" w:line="269" w:lineRule="auto"/>
        <w:ind w:firstLine="720"/>
        <w:jc w:val="both"/>
      </w:pPr>
      <w:r w:rsidRPr="00C42099">
        <w:t xml:space="preserve">Kinh nghiệm của một số quốc gia cho thấy, mặc dù nhấn mạnh yêu cầu bảo đảm an ninh, hệ thống pháp luật vẫn được thiết kế theo hướng đủ rõ ràng để các chủ thể liên quan biết được nghĩa vụ của mình và phạm vi kiểm soát của Nhà nước. Tại Singapore, ngoài đạo luật gốc, hệ thống văn bản quy định chi tiết đã hướng dẫn cụ thể về thủ tục cấp phép, điều kiện chấp thuận, việc đình chỉ, thu hồi giấy phép, cũng như trách nhiệm tuân thủ của doanh nghiệp; cơ quan Hải quan Singapore cũng công khai rõ phạm vi các hoạt động bị kiểm soát, yêu cầu đăng ký đối với hoạt động môi giới, cơ chế kiểm tra, xử lý vi phạm và khuyến nghị doanh nghiệp xây dựng chương trình tuân thủ nội bộ. Tại Philippines, Đạo luật Quản lý thương mại chiến lược quy định Danh mục hàng hóa chiến lược quốc gia, cơ chế kiểm soát theo mục đích sử dụng cuối, giấy chứng nhận người sử dụng cuối và cơ quan chuyên trách quản lý thương mại chiến lược để thực hiện quản lý tập trung. Những mô hình này cho thấy, một chính sách hiệu quả không chỉ nhấn mạnh yêu cầu bảo mật, mà còn phải xác lập được chuẩn mực tối thiểu về minh bạch, chuẩn mực về giải trình và chuẩn mực </w:t>
      </w:r>
      <w:r w:rsidRPr="00C42099">
        <w:lastRenderedPageBreak/>
        <w:t>về thông tin cần thiết, để các chủ thể chịu sự điều chỉnh có thể nhận diện đầy đủ nghĩa vụ của mình và tự bảo vệ quyền, lợi ích hợp pháp.</w:t>
      </w:r>
    </w:p>
    <w:p w14:paraId="45ECCF78" w14:textId="1FB854B5" w:rsidR="00D046BD" w:rsidRPr="00D046BD" w:rsidRDefault="00D046BD" w:rsidP="00D046BD">
      <w:pPr>
        <w:spacing w:before="60" w:line="269" w:lineRule="auto"/>
        <w:ind w:firstLine="720"/>
        <w:jc w:val="both"/>
      </w:pPr>
      <w:r w:rsidRPr="00D046BD">
        <w:rPr>
          <w:b/>
          <w:bCs/>
          <w:i/>
          <w:iCs/>
        </w:rPr>
        <w:t>Thứ ba,</w:t>
      </w:r>
      <w:r w:rsidRPr="00D046BD">
        <w:rPr>
          <w:b/>
          <w:bCs/>
        </w:rPr>
        <w:t xml:space="preserve"> </w:t>
      </w:r>
      <w:r w:rsidRPr="00D046BD">
        <w:t xml:space="preserve">thuật ngữ và nội hàm pháp lý của các khái niệm cốt lõi trong lĩnh vực phòng, chống phổ biến và tài trợ phổ biến </w:t>
      </w:r>
      <w:r>
        <w:t>WMD</w:t>
      </w:r>
      <w:r w:rsidRPr="00D046BD">
        <w:t xml:space="preserve"> chưa được chuẩn hóa đầy đủ, làm giảm tính minh bạch và tính dự </w:t>
      </w:r>
      <w:r>
        <w:t>liệu</w:t>
      </w:r>
      <w:r w:rsidRPr="00D046BD">
        <w:t xml:space="preserve"> của chính sách.</w:t>
      </w:r>
    </w:p>
    <w:p w14:paraId="0E4AC566" w14:textId="1382CE2B" w:rsidR="00D046BD" w:rsidRDefault="00D046BD" w:rsidP="00D046BD">
      <w:pPr>
        <w:spacing w:before="60" w:line="269" w:lineRule="auto"/>
        <w:ind w:firstLine="720"/>
        <w:jc w:val="both"/>
      </w:pPr>
      <w:r w:rsidRPr="00D046BD">
        <w:t>Nghị định số 81/2019/NĐ-CP đã bước đầu ghi nhận một số khái niệm cơ bản như phổ biến vũ khí hủy diệt hàng loạt, vật liệu liên quan, vật liệu, công nghệ và thiết bị lưỡng dụng, tài trợ phổ biến vũ khí hủy diệt hàng loạt. Tuy nhiên, nhiều khái niệm có ý nghĩa trực tiếp đối với việc xác định phạm vi kiểm soát, nghĩa vụ tuân thủ và trách nhiệm pháp lý của tổ chức, cá nhân như môi giới, dịch vụ kỹ thuật, hỗ trợ kỹ thuật, chuyển giao hoặc truyền tải công nghệ, người sử dụng cuối, mục đích sử dụng cuối và các hành vi hỗ trợ khác chưa được làm rõ và chuẩn hóa thống nhất. Điều này làm giảm tính minh bạch, tính ổn định và tính dự báo của pháp luật, đồng thời gây khó khăn cho tổ chức, doanh nghiệp, tổ chức tài chính và cơ quan thực thi trong việc xác định nghĩa vụ tuân thủ, nhận diện rủi ro và áp dụng pháp luật thống nhất giữa các lĩnh vực có liên quan.</w:t>
      </w:r>
    </w:p>
    <w:p w14:paraId="097AE04C" w14:textId="50C27DC5" w:rsidR="00E833EB" w:rsidRDefault="00E833EB" w:rsidP="00D046BD">
      <w:pPr>
        <w:spacing w:before="60" w:line="269" w:lineRule="auto"/>
        <w:ind w:firstLine="720"/>
        <w:jc w:val="both"/>
      </w:pPr>
      <w:r w:rsidRPr="00E833EB">
        <w:t xml:space="preserve">Kinh nghiệm lập pháp của một số quốc gia cho thấy, việc chuẩn hóa khái niệm là điều kiện quan trọng để bảo đảm hiệu quả thực thi. </w:t>
      </w:r>
      <w:r>
        <w:t xml:space="preserve">Điển hình như: </w:t>
      </w:r>
      <w:r w:rsidRPr="00E833EB">
        <w:t xml:space="preserve">Đạo luật Kiểm soát hàng hóa chiến lược của Singapore không chỉ kiểm soát hoạt động xuất khẩu mà còn kiểm soát cả trung chuyển, quá cảnh, chuyển giao công nghệ vô hình và hoạt động môi giới; đồng thời thiết lập cơ chế “kiểm soát bao quát” để điều chỉnh cả những hàng hóa và công nghệ không được liệt kê trong danh mục nhưng có khả năng phục vụ mục đích liên quan đến </w:t>
      </w:r>
      <w:r>
        <w:t>WMD</w:t>
      </w:r>
      <w:r w:rsidRPr="00E833EB">
        <w:t xml:space="preserve">. Tại Philippines, Đạo luật Quản lý thương mại chiến lược quy định Danh mục hàng hóa chiến lược quốc gia, cơ chế kiểm soát theo mục đích sử dụng cuối, giấy chứng nhận người sử dụng cuối, đồng thời mô tả khá cụ thể các hành vi như xuất khẩu, nhập khẩu, tái xuất khẩu, chuyển nhượng lại, quá cảnh, trung chuyển và cung cấp các dịch vụ có liên quan. Tại Thái Lan, hiện đã có luật chuyên biệt về kiểm soát hàng hóa liên quan đến phổ biến </w:t>
      </w:r>
      <w:r>
        <w:t>WMD</w:t>
      </w:r>
      <w:r w:rsidRPr="00E833EB">
        <w:t xml:space="preserve">; theo Bộ Thương mại Thái Lan, luật trao thẩm quyền cho cơ quan quản lý áp dụng đồng thời các biện pháp cấp phép, tự chứng nhận và các biện pháp quản lý khác đối với hàng hóa liên quan đến </w:t>
      </w:r>
      <w:r>
        <w:t>WMD</w:t>
      </w:r>
      <w:r w:rsidRPr="00E833EB">
        <w:t xml:space="preserve"> và hàng hóa lưỡng dụng. So sánh này cho thấy chính sách của Việt Nam cần tiếp tục được hoàn thiện theo hướng chuẩn hóa hệ thống thuật ngữ và nội hàm pháp lý cốt lõi, nhằm bảo đảm cách hiểu thống nhất, giảm chi phí tuân thủ và nâng cao khả năng thực thi trong thực tiễn.</w:t>
      </w:r>
    </w:p>
    <w:p w14:paraId="6F8FE84B" w14:textId="47FA3DCE" w:rsidR="00D046BD" w:rsidRPr="00D046BD" w:rsidRDefault="00D046BD" w:rsidP="00D046BD">
      <w:pPr>
        <w:spacing w:before="60" w:line="269" w:lineRule="auto"/>
        <w:ind w:firstLine="720"/>
        <w:jc w:val="both"/>
      </w:pPr>
      <w:r w:rsidRPr="00D046BD">
        <w:t xml:space="preserve">Tổng hợp lại, các bất cập nêu trên cho thấy nội dung nguyên tắc của chính sách hiện hành chưa được thể hiện đầy đủ, thống nhất và minh bạch trên ba phương diện cốt lõi: </w:t>
      </w:r>
      <w:r w:rsidR="00E833EB">
        <w:t>(1) N</w:t>
      </w:r>
      <w:r w:rsidRPr="00D046BD">
        <w:t xml:space="preserve">guyên tắc giới hạn can thiệp của Nhà nước đối với </w:t>
      </w:r>
      <w:r w:rsidRPr="00D046BD">
        <w:lastRenderedPageBreak/>
        <w:t xml:space="preserve">quyền con người, quyền công dân; </w:t>
      </w:r>
      <w:r w:rsidR="00E833EB">
        <w:t>(2) N</w:t>
      </w:r>
      <w:r w:rsidRPr="00D046BD">
        <w:t xml:space="preserve">guyên tắc xử lý quan hệ giữa bảo mật thông tin với minh bạch, giải trình; </w:t>
      </w:r>
      <w:r w:rsidR="00E833EB">
        <w:t>(3) N</w:t>
      </w:r>
      <w:r w:rsidRPr="00D046BD">
        <w:t xml:space="preserve">guyên tắc chuẩn hóa thuật ngữ, nội hàm pháp lý của các khái niệm nền tảng. Đây là khoảng trống chính sách cần được hoàn thiện để bảo đảm đồng thời yêu cầu bảo vệ an ninh quốc gia, thực hiện các cam kết quốc tế với yêu cầu tôn trọng, bảo vệ quyền con người, quyền công dân theo Hiến pháp và điều ước quốc tế có liên quan. </w:t>
      </w:r>
    </w:p>
    <w:p w14:paraId="1F09DA49" w14:textId="77777777" w:rsidR="00A4513F" w:rsidRPr="00E833EB" w:rsidRDefault="00A4513F" w:rsidP="00A4513F">
      <w:pPr>
        <w:spacing w:before="60" w:after="60" w:line="276" w:lineRule="auto"/>
        <w:ind w:firstLine="709"/>
        <w:jc w:val="both"/>
        <w:rPr>
          <w:bCs/>
          <w:i/>
          <w:iCs/>
        </w:rPr>
      </w:pPr>
      <w:r w:rsidRPr="00E833EB">
        <w:rPr>
          <w:bCs/>
          <w:i/>
          <w:iCs/>
        </w:rPr>
        <w:t xml:space="preserve">1.1.2. </w:t>
      </w:r>
      <w:r w:rsidRPr="00E833EB">
        <w:rPr>
          <w:bCs/>
          <w:i/>
          <w:iCs/>
          <w:lang w:val="vi-VN"/>
        </w:rPr>
        <w:t>Nguyên nhân của những bất cập</w:t>
      </w:r>
    </w:p>
    <w:p w14:paraId="447B26E4" w14:textId="3D384EB9" w:rsidR="00521EB5" w:rsidRPr="00521EB5" w:rsidRDefault="00521EB5" w:rsidP="00521EB5">
      <w:pPr>
        <w:spacing w:before="60" w:after="60" w:line="276" w:lineRule="auto"/>
        <w:ind w:firstLine="709"/>
        <w:jc w:val="both"/>
      </w:pPr>
      <w:r w:rsidRPr="00E833EB">
        <w:rPr>
          <w:b/>
          <w:bCs/>
          <w:i/>
          <w:iCs/>
        </w:rPr>
        <w:t>Thứ nhất</w:t>
      </w:r>
      <w:r w:rsidRPr="00521EB5">
        <w:t xml:space="preserve">, lĩnh vực phòng, chống phổ biến và tài trợ phổ biến </w:t>
      </w:r>
      <w:r w:rsidR="00E833EB">
        <w:t>WMD</w:t>
      </w:r>
      <w:r w:rsidRPr="00521EB5">
        <w:t xml:space="preserve"> có tính chất liên ngành, liên lĩnh vực rất cao, liên quan đồng thời đến quốc phòng, an ninh, đối ngoại, ngoại thương, hải quan, tài chính, khoa học và công nghệ. Vì vậy, pháp luật hiện hành được hình thành chủ yếu theo hướng lồng ghép trong từng lĩnh vực quản lý chuyên ngành, chưa được thiết kế thành một đạo luật chuyên ngành có chức năng xác lập nguyên tắc chung, giới hạn can thiệp của Nhà nước và cơ chế bảo đảm quyền.</w:t>
      </w:r>
    </w:p>
    <w:p w14:paraId="438FD1C5" w14:textId="77777777" w:rsidR="00521EB5" w:rsidRPr="00521EB5" w:rsidRDefault="00521EB5" w:rsidP="00521EB5">
      <w:pPr>
        <w:spacing w:before="60" w:after="60" w:line="276" w:lineRule="auto"/>
        <w:ind w:firstLine="709"/>
        <w:jc w:val="both"/>
      </w:pPr>
      <w:r w:rsidRPr="00E833EB">
        <w:rPr>
          <w:b/>
          <w:bCs/>
          <w:i/>
          <w:iCs/>
        </w:rPr>
        <w:t>Thứ hai,</w:t>
      </w:r>
      <w:r w:rsidRPr="00521EB5">
        <w:t xml:space="preserve"> yêu cầu bảo vệ bí mật nhà nước, an ninh quốc gia và bí mật nghiệp vụ thường được ưu tiên trong quá trình xây dựng và tổ chức thực hiện pháp luật, trong khi cơ chế minh bạch, tiếp cận thông tin, giải trình và tự bảo vệ của đối tượng bị tác động chưa được thiết kế tương xứng. Do chưa có luật chuyên ngành làm nền tảng, các quy định về bảo mật, chia sẻ thông tin, công khai, thông báo và giải trình còn phân tán, thiếu chuẩn chung thống nhất.</w:t>
      </w:r>
    </w:p>
    <w:p w14:paraId="68EA4C9A" w14:textId="1FBBCE62" w:rsidR="00A4513F" w:rsidRPr="00521EB5" w:rsidRDefault="00521EB5" w:rsidP="00521EB5">
      <w:pPr>
        <w:spacing w:before="60" w:after="60" w:line="276" w:lineRule="auto"/>
        <w:ind w:firstLine="709"/>
        <w:jc w:val="both"/>
      </w:pPr>
      <w:r w:rsidRPr="00E833EB">
        <w:rPr>
          <w:b/>
          <w:bCs/>
          <w:i/>
          <w:iCs/>
        </w:rPr>
        <w:t>Thứ ba,</w:t>
      </w:r>
      <w:r w:rsidRPr="00521EB5">
        <w:t xml:space="preserve"> các khái niệm pháp lý trong lĩnh vực này có tính kỹ thuật cao, xuyên biên giới và chịu tác động trực tiếp của các chuẩn mực quốc tế, trong khi pháp luật trong nước mới tiếp cận theo từng mảng chuyên ngành. Điều đó dẫn đến việc chưa chuẩn hóa đầy đủ thuật ngữ và nội hàm pháp lý của các hành vi, đối tượng, quan hệ cần kiểm soát; chưa tạo được </w:t>
      </w:r>
      <w:r w:rsidR="00E833EB">
        <w:t>quy định</w:t>
      </w:r>
      <w:r w:rsidRPr="00521EB5">
        <w:t xml:space="preserve"> thống nhất để nội luật hóa đầy đủ yêu cầu của Nghị quyết số 1540 của Hội đồng Bảo an Liên hợp quốc và các chuẩn mực liên quan về chống tài trợ phổ biến </w:t>
      </w:r>
      <w:r w:rsidR="00E833EB">
        <w:t>WMD.</w:t>
      </w:r>
    </w:p>
    <w:p w14:paraId="3CDC1381" w14:textId="44C22FF7" w:rsidR="00A4513F" w:rsidRPr="003713FC" w:rsidRDefault="00A4513F" w:rsidP="00F33B58">
      <w:pPr>
        <w:spacing w:before="60" w:line="269" w:lineRule="auto"/>
        <w:ind w:firstLine="720"/>
        <w:jc w:val="both"/>
        <w:rPr>
          <w:bCs/>
          <w:i/>
          <w:iCs/>
        </w:rPr>
      </w:pPr>
      <w:r w:rsidRPr="003713FC">
        <w:rPr>
          <w:bCs/>
          <w:i/>
          <w:iCs/>
        </w:rPr>
        <w:t>1.1.3. Mục tiêu giải quyết vấn đề</w:t>
      </w:r>
    </w:p>
    <w:p w14:paraId="4D3AC295" w14:textId="28CFD96D" w:rsidR="00A4513F" w:rsidRPr="003713FC" w:rsidRDefault="00A4513F" w:rsidP="00F33B58">
      <w:pPr>
        <w:spacing w:before="60" w:line="269" w:lineRule="auto"/>
        <w:ind w:firstLine="720"/>
        <w:jc w:val="both"/>
        <w:rPr>
          <w:bCs/>
        </w:rPr>
      </w:pPr>
      <w:r w:rsidRPr="003713FC">
        <w:rPr>
          <w:bCs/>
        </w:rPr>
        <w:t>- Mục tiêu chung:</w:t>
      </w:r>
    </w:p>
    <w:p w14:paraId="2F1A0DCF" w14:textId="3652CF02" w:rsidR="003713FC" w:rsidRPr="003713FC" w:rsidRDefault="003713FC" w:rsidP="00F33B58">
      <w:pPr>
        <w:spacing w:before="60" w:line="269" w:lineRule="auto"/>
        <w:ind w:firstLine="720"/>
        <w:jc w:val="both"/>
        <w:rPr>
          <w:bCs/>
        </w:rPr>
      </w:pPr>
      <w:r w:rsidRPr="003713FC">
        <w:rPr>
          <w:bCs/>
        </w:rPr>
        <w:t xml:space="preserve">Hoàn thiện các nguyên tắc về phòng, chống phổ biến </w:t>
      </w:r>
      <w:r>
        <w:rPr>
          <w:bCs/>
        </w:rPr>
        <w:t>WMD</w:t>
      </w:r>
      <w:r w:rsidRPr="003713FC">
        <w:rPr>
          <w:bCs/>
        </w:rPr>
        <w:t xml:space="preserve">, bảo đảm đáp ứng yêu cầu bảo vệ quyền con người, quyền công dân theo quy định của Hiến pháp và các điều ước quốc tế có liên quan; đồng thời tạo cơ sở cho việc áp dụng thống nhất, minh bạch, cần thiết, tương xứng và đúng thẩm quyền các biện pháp phòng, chống phổ biến </w:t>
      </w:r>
      <w:r>
        <w:rPr>
          <w:bCs/>
        </w:rPr>
        <w:t>WMD</w:t>
      </w:r>
      <w:r w:rsidRPr="003713FC">
        <w:rPr>
          <w:bCs/>
        </w:rPr>
        <w:t xml:space="preserve"> trong thực tiễn.</w:t>
      </w:r>
    </w:p>
    <w:p w14:paraId="1D6EB835" w14:textId="527D37BB" w:rsidR="00A4513F" w:rsidRPr="003713FC" w:rsidRDefault="00A4513F" w:rsidP="00F33B58">
      <w:pPr>
        <w:spacing w:before="60" w:line="269" w:lineRule="auto"/>
        <w:ind w:firstLine="720"/>
        <w:jc w:val="both"/>
        <w:rPr>
          <w:bCs/>
        </w:rPr>
      </w:pPr>
      <w:r w:rsidRPr="003713FC">
        <w:rPr>
          <w:bCs/>
        </w:rPr>
        <w:t>- Mục tiêu cụ thể:</w:t>
      </w:r>
    </w:p>
    <w:p w14:paraId="479A4FB1" w14:textId="0E24F972" w:rsidR="00521EB5" w:rsidRPr="00521EB5" w:rsidRDefault="00521EB5" w:rsidP="00521EB5">
      <w:pPr>
        <w:spacing w:before="60" w:line="269" w:lineRule="auto"/>
        <w:ind w:firstLine="720"/>
        <w:jc w:val="both"/>
      </w:pPr>
      <w:r w:rsidRPr="00521EB5">
        <w:t xml:space="preserve">(1) Hoàn thiện các nguyên tắc cơ bản về phòng, chống phổ biến và tài trợ phổ biến </w:t>
      </w:r>
      <w:r w:rsidR="003713FC">
        <w:t>WMD</w:t>
      </w:r>
      <w:r w:rsidRPr="00521EB5">
        <w:t xml:space="preserve">, làm rõ căn cứ áp dụng các biện pháp hạn chế quyền, bảo đảm </w:t>
      </w:r>
      <w:r w:rsidRPr="00521EB5">
        <w:lastRenderedPageBreak/>
        <w:t>tuân thủ yêu cầu hợp pháp, cần thiết, tương xứng, đúng thẩm quyền, đúng trình tự, thủ tục theo quy định của Hiến pháp.</w:t>
      </w:r>
    </w:p>
    <w:p w14:paraId="05F00B47" w14:textId="77777777" w:rsidR="00521EB5" w:rsidRPr="00521EB5" w:rsidRDefault="00521EB5" w:rsidP="00521EB5">
      <w:pPr>
        <w:spacing w:before="60" w:line="269" w:lineRule="auto"/>
        <w:ind w:firstLine="720"/>
        <w:jc w:val="both"/>
      </w:pPr>
      <w:r w:rsidRPr="00521EB5">
        <w:t>(2) Hoàn thiện cơ chế bảo đảm minh bạch, giải trình và bảo mật thông tin, xác định rõ phạm vi thông tin thuộc diện mật, điều kiện hạn chế quyền tiếp cận thông tin, nghĩa vụ thông báo và trách nhiệm giải trình của cơ quan có thẩm quyền, đồng thời bảo đảm bảo vệ bí mật đời tư, dữ liệu cá nhân, bí mật kinh doanh và bí mật công nghệ.</w:t>
      </w:r>
    </w:p>
    <w:p w14:paraId="64ED4B54" w14:textId="4C18BE32" w:rsidR="00521EB5" w:rsidRPr="00521EB5" w:rsidRDefault="00521EB5" w:rsidP="00521EB5">
      <w:pPr>
        <w:spacing w:before="60" w:line="269" w:lineRule="auto"/>
        <w:ind w:firstLine="720"/>
        <w:jc w:val="both"/>
      </w:pPr>
      <w:r w:rsidRPr="00521EB5">
        <w:t xml:space="preserve">(3) Chuẩn hóa thuật ngữ và nội hàm của các khái niệm cốt lõi trong lĩnh vực phòng, chống phổ biến và tài trợ phổ biến </w:t>
      </w:r>
      <w:r w:rsidR="003713FC">
        <w:t>WMD</w:t>
      </w:r>
      <w:r w:rsidRPr="00521EB5">
        <w:t>, trong đó làm rõ các khái niệm về phổ biến, tài trợ phổ biến, vật liệu liên quan, hàng hóa lưỡng dụng, dịch vụ kỹ thuật, truyền tải công nghệ, người sử dụng cuối và các khái niệm có liên quan khác.</w:t>
      </w:r>
    </w:p>
    <w:p w14:paraId="7E6FB99E" w14:textId="54BBF392" w:rsidR="00521EB5" w:rsidRPr="00521EB5" w:rsidRDefault="00521EB5" w:rsidP="00521EB5">
      <w:pPr>
        <w:spacing w:before="60" w:line="269" w:lineRule="auto"/>
        <w:ind w:firstLine="720"/>
        <w:jc w:val="both"/>
      </w:pPr>
      <w:r w:rsidRPr="00521EB5">
        <w:t xml:space="preserve">(4) Xác định nguyên tắc áp dụng thống nhất giữa các lĩnh vực có liên quan, bảo đảm sự liên thông giữa quốc phòng, an ninh, ngoại thương, hải quan, tài chính, khoa học và công nghệ và các lĩnh vực khác có liên quan trong phòng, chống phổ biến và tài trợ phổ biến </w:t>
      </w:r>
      <w:r w:rsidR="003713FC">
        <w:t>WMD</w:t>
      </w:r>
      <w:r w:rsidRPr="00521EB5">
        <w:t>.</w:t>
      </w:r>
    </w:p>
    <w:p w14:paraId="1F30D604" w14:textId="77777777" w:rsidR="00521EB5" w:rsidRPr="00521EB5" w:rsidRDefault="00521EB5" w:rsidP="00521EB5">
      <w:pPr>
        <w:spacing w:before="60" w:line="269" w:lineRule="auto"/>
        <w:ind w:firstLine="720"/>
        <w:jc w:val="both"/>
      </w:pPr>
      <w:r w:rsidRPr="00521EB5">
        <w:t>(5) Hoàn thiện cơ chế bảo vệ quyền và lợi ích hợp pháp của tổ chức, cá nhân bị tác động, bao gồm cơ chế khiếu nại, khởi kiện, yêu cầu xem xét lại quyết định và trách nhiệm giải trình của cơ quan có thẩm quyền trong quá trình áp dụng các biện pháp kiểm soát, ngăn chặn.</w:t>
      </w:r>
    </w:p>
    <w:p w14:paraId="2F8F156C" w14:textId="346370CE" w:rsidR="00521EB5" w:rsidRPr="00521EB5" w:rsidRDefault="00521EB5" w:rsidP="00521EB5">
      <w:pPr>
        <w:spacing w:before="60" w:line="269" w:lineRule="auto"/>
        <w:ind w:firstLine="720"/>
        <w:jc w:val="both"/>
      </w:pPr>
      <w:r w:rsidRPr="00521EB5">
        <w:t xml:space="preserve">(6) Bảo đảm cơ sở cho việc nội luật hóa và thực hiện hiệu quả các cam kết, nghĩa vụ quốc tế có liên quan, gồm các điều ước quốc tế, Nghị quyết số 1540 của Hội đồng Bảo an Liên hợp quốc và các chuẩn mực quốc tế liên quan đến phòng, chống phổ biến và tài trợ phổ biến </w:t>
      </w:r>
      <w:r w:rsidR="003713FC">
        <w:t>WMD</w:t>
      </w:r>
      <w:r w:rsidRPr="00521EB5">
        <w:t>, qua đó nâng cao hiệu quả thực thi và uy tín của Việt Nam trong hợp tác quốc tế.</w:t>
      </w:r>
    </w:p>
    <w:p w14:paraId="0C7857B6" w14:textId="77777777" w:rsidR="00F33B58" w:rsidRPr="00086837" w:rsidRDefault="00F33B58" w:rsidP="00F33B58">
      <w:pPr>
        <w:spacing w:before="60" w:line="276" w:lineRule="auto"/>
        <w:ind w:firstLine="720"/>
        <w:jc w:val="both"/>
        <w:rPr>
          <w:bCs/>
          <w:spacing w:val="-4"/>
          <w:lang w:val="vi"/>
        </w:rPr>
      </w:pPr>
      <w:r w:rsidRPr="00086837">
        <w:rPr>
          <w:spacing w:val="-4"/>
        </w:rPr>
        <w:t xml:space="preserve">1.2. </w:t>
      </w:r>
      <w:r w:rsidRPr="00086837">
        <w:rPr>
          <w:bCs/>
          <w:spacing w:val="-4"/>
          <w:lang w:val="vi"/>
        </w:rPr>
        <w:t>Các giải pháp và đánh giá tác động của các giải pháp đối với đối tượng chịu sự tác động trực tiếp của chính sách và các đối tượng khác có liên quan</w:t>
      </w:r>
    </w:p>
    <w:p w14:paraId="7FC99544" w14:textId="77777777" w:rsidR="00F33B58" w:rsidRPr="00086837" w:rsidRDefault="00F33B58" w:rsidP="00F33B58">
      <w:pPr>
        <w:spacing w:before="80" w:line="276" w:lineRule="auto"/>
        <w:ind w:firstLine="720"/>
        <w:jc w:val="both"/>
        <w:rPr>
          <w:rFonts w:ascii="Times New Roman Italic" w:hAnsi="Times New Roman Italic"/>
          <w:i/>
        </w:rPr>
      </w:pPr>
      <w:r w:rsidRPr="00086837">
        <w:rPr>
          <w:rFonts w:ascii="Times New Roman Italic" w:hAnsi="Times New Roman Italic"/>
          <w:bCs/>
          <w:i/>
        </w:rPr>
        <w:t xml:space="preserve">1.2.1. Giải pháp 1: </w:t>
      </w:r>
      <w:r w:rsidRPr="00086837">
        <w:rPr>
          <w:rFonts w:ascii="Times New Roman Italic" w:hAnsi="Times New Roman Italic"/>
          <w:i/>
        </w:rPr>
        <w:t>Sửa đổi, bổ sung Nghị định số 81/2019/NĐ-CP theo hướng hoàn thiện hệ nguyên tắc và cơ chế bảo đảm quyền, lợi ích hợp pháp của tổ chức, cá nhân trong phòng, chống phổ biến và tài trợ phổ biến vũ khí hủy diệt hàng loạt, trong phạm vi thẩm quyền của nghị định</w:t>
      </w:r>
    </w:p>
    <w:p w14:paraId="73703BB9" w14:textId="77777777" w:rsidR="00F33B58" w:rsidRPr="00086837" w:rsidRDefault="00F33B58" w:rsidP="00F33B58">
      <w:pPr>
        <w:spacing w:before="80" w:line="276" w:lineRule="auto"/>
        <w:ind w:firstLine="720"/>
        <w:jc w:val="both"/>
        <w:rPr>
          <w:bCs/>
        </w:rPr>
      </w:pPr>
      <w:r w:rsidRPr="00086837">
        <w:rPr>
          <w:bCs/>
        </w:rPr>
        <w:t>a) Tác động đối với hệ thống pháp luật</w:t>
      </w:r>
    </w:p>
    <w:p w14:paraId="33B0294F" w14:textId="77777777" w:rsidR="00F33B58" w:rsidRPr="00086837" w:rsidRDefault="00F33B58" w:rsidP="00F33B58">
      <w:pPr>
        <w:spacing w:before="80" w:line="276" w:lineRule="auto"/>
        <w:ind w:firstLine="720"/>
        <w:jc w:val="both"/>
        <w:rPr>
          <w:bCs/>
        </w:rPr>
      </w:pPr>
      <w:r w:rsidRPr="00086837">
        <w:rPr>
          <w:bCs/>
        </w:rPr>
        <w:t xml:space="preserve">- Tính hợp hiến: </w:t>
      </w:r>
    </w:p>
    <w:p w14:paraId="082D9458" w14:textId="71F409A2" w:rsidR="00F33B58" w:rsidRPr="00C26203" w:rsidRDefault="00F33B58" w:rsidP="00F33B58">
      <w:pPr>
        <w:spacing w:before="80" w:line="276" w:lineRule="auto"/>
        <w:ind w:firstLine="720"/>
        <w:jc w:val="both"/>
        <w:rPr>
          <w:bCs/>
          <w:color w:val="000000" w:themeColor="text1"/>
        </w:rPr>
      </w:pPr>
      <w:r w:rsidRPr="00C26203">
        <w:rPr>
          <w:bCs/>
          <w:color w:val="000000" w:themeColor="text1"/>
        </w:rPr>
        <w:t xml:space="preserve">Giải pháp 1 không làm phát sinh biện pháp hạn chế quyền mới so với </w:t>
      </w:r>
      <w:r w:rsidR="004C4039" w:rsidRPr="00C26203">
        <w:rPr>
          <w:bCs/>
          <w:color w:val="000000" w:themeColor="text1"/>
        </w:rPr>
        <w:t>pháp luật</w:t>
      </w:r>
      <w:r w:rsidRPr="00C26203">
        <w:rPr>
          <w:bCs/>
          <w:color w:val="000000" w:themeColor="text1"/>
        </w:rPr>
        <w:t xml:space="preserve"> hiện hành, vì nội dung sửa đổi, bổ sung được định hướng vào việc hoàn thiện cơ chế bảo đảm quyền, lợi ích hợp pháp thông qua chuẩn hóa nguyên tắc tổ chức thực hiện, quy trình nghiệp vụ, trách nhiệm giải trình, cơ chế phối </w:t>
      </w:r>
      <w:r w:rsidRPr="00C26203">
        <w:rPr>
          <w:bCs/>
          <w:color w:val="000000" w:themeColor="text1"/>
        </w:rPr>
        <w:lastRenderedPageBreak/>
        <w:t>hợp và các thủ tục bảo đảm quyền (công khai, minh bạch; tiếp nhận, xử lý kiến nghị; cơ chế xử lý nhầm lẫn; bảo vệ bên thứ ba…).</w:t>
      </w:r>
      <w:r w:rsidRPr="00C26203">
        <w:rPr>
          <w:rFonts w:ascii="Segoe UI Emoji" w:hAnsi="Segoe UI Emoji" w:cs="Segoe UI Emoji"/>
          <w:bCs/>
          <w:color w:val="000000" w:themeColor="text1"/>
        </w:rPr>
        <w:t xml:space="preserve"> </w:t>
      </w:r>
      <w:r w:rsidRPr="00C26203">
        <w:rPr>
          <w:bCs/>
          <w:color w:val="000000" w:themeColor="text1"/>
        </w:rPr>
        <w:t>Theo đó, giải pháp góp phần khắc phục các khoảng trống về quy trình và phối hợp, nâng cao tính công khai, minh bạch, tăng khả năng dự liệu và góp phần thống nhất cách thức tổ chức thi hành đối với các nội dung thuộc thẩm quyền của Chính phủ.</w:t>
      </w:r>
    </w:p>
    <w:p w14:paraId="57A0A2DF" w14:textId="434294D3" w:rsidR="00F33B58" w:rsidRPr="00C26203" w:rsidRDefault="00F33B58" w:rsidP="00F33B58">
      <w:pPr>
        <w:spacing w:before="80" w:line="276" w:lineRule="auto"/>
        <w:ind w:firstLine="720"/>
        <w:jc w:val="both"/>
        <w:rPr>
          <w:bCs/>
          <w:color w:val="000000" w:themeColor="text1"/>
        </w:rPr>
      </w:pPr>
      <w:r w:rsidRPr="00C26203">
        <w:rPr>
          <w:bCs/>
          <w:color w:val="000000" w:themeColor="text1"/>
        </w:rPr>
        <w:t>Tuy nhiên, do nghị định là văn bản dưới luật, Giải pháp 1 không khắc phục được bất cập hợp hiến do nghị định không có thẩm quyền đặt ra hoặc mở rộng các nguyên tắc, căn cứ, điều kiện và giới hạn áp dụng các biện pháp có tính chất hạn chế quyền con người, quyền công dân</w:t>
      </w:r>
      <w:r w:rsidR="00C26203" w:rsidRPr="00C26203">
        <w:rPr>
          <w:bCs/>
          <w:color w:val="000000" w:themeColor="text1"/>
        </w:rPr>
        <w:t xml:space="preserve"> </w:t>
      </w:r>
      <w:r w:rsidRPr="00C26203">
        <w:rPr>
          <w:bCs/>
          <w:color w:val="000000" w:themeColor="text1"/>
        </w:rPr>
        <w:t>theo khoản 2 Điều 14 Hiến pháp năm 2013 “Quyền con người, quyền công dân chỉ có thể bị hạn chế theo quy định của luật…”.</w:t>
      </w:r>
    </w:p>
    <w:p w14:paraId="489539F9" w14:textId="77777777" w:rsidR="00F33B58" w:rsidRPr="00C26203" w:rsidRDefault="00F33B58" w:rsidP="00F33B58">
      <w:pPr>
        <w:spacing w:before="80" w:line="276" w:lineRule="auto"/>
        <w:ind w:firstLine="720"/>
        <w:jc w:val="both"/>
        <w:rPr>
          <w:bCs/>
          <w:color w:val="000000" w:themeColor="text1"/>
        </w:rPr>
      </w:pPr>
      <w:r w:rsidRPr="00C26203">
        <w:rPr>
          <w:bCs/>
          <w:color w:val="000000" w:themeColor="text1"/>
        </w:rPr>
        <w:t>Trong thực tiễn, hoạt động phòng, chống phổ biến và tài trợ phổ biến WMD đòi hỏi áp dụng các biện pháp kiểm soát có tính chất can thiệp như: kiểm tra, tạm giữ, thu giữ, đình chỉ hoạt động, tạm ngừng lưu thông, phong tỏa tài sản... vốn tác động trực tiếp đến quyền con người, quyền công dân</w:t>
      </w:r>
      <w:r w:rsidRPr="00C26203">
        <w:rPr>
          <w:rFonts w:ascii="Segoe UI Emoji" w:hAnsi="Segoe UI Emoji" w:cs="Segoe UI Emoji"/>
          <w:bCs/>
          <w:color w:val="000000" w:themeColor="text1"/>
        </w:rPr>
        <w:t xml:space="preserve"> </w:t>
      </w:r>
      <w:r w:rsidRPr="00C26203">
        <w:rPr>
          <w:bCs/>
          <w:color w:val="000000" w:themeColor="text1"/>
        </w:rPr>
        <w:t>và lợi ích hợp pháp của tổ chức, cá nhân. Vì vậy, Giải pháp 1 chủ yếu cải thiện “kỹ thuật tổ chức thực hiện” (quy trình, phối hợp, minh bạch, giải trình), nhưng không đáp ứng yêu cầu luật hóa đối với các nội dung mang tính nền tảng và các biện pháp can thiệp quyền theo chuẩn Hiến pháp.</w:t>
      </w:r>
    </w:p>
    <w:p w14:paraId="1FDDF40E" w14:textId="77777777" w:rsidR="00F33B58" w:rsidRPr="00086837" w:rsidRDefault="00F33B58" w:rsidP="00F33B58">
      <w:pPr>
        <w:spacing w:before="80" w:line="276" w:lineRule="auto"/>
        <w:ind w:firstLine="720"/>
        <w:jc w:val="both"/>
        <w:rPr>
          <w:bCs/>
        </w:rPr>
      </w:pPr>
      <w:r w:rsidRPr="00086837">
        <w:rPr>
          <w:bCs/>
        </w:rPr>
        <w:t xml:space="preserve">- Tính hợp pháp, tính thống nhất: </w:t>
      </w:r>
    </w:p>
    <w:p w14:paraId="20E87476" w14:textId="03B6EE6A" w:rsidR="00F33B58" w:rsidRPr="00086837" w:rsidRDefault="00F33B58" w:rsidP="00F33B58">
      <w:pPr>
        <w:spacing w:before="80" w:line="276" w:lineRule="auto"/>
        <w:ind w:firstLine="720"/>
        <w:jc w:val="both"/>
        <w:rPr>
          <w:bCs/>
        </w:rPr>
      </w:pPr>
      <w:r w:rsidRPr="003B038E">
        <w:rPr>
          <w:bCs/>
        </w:rPr>
        <w:t>Giải pháp này khắc phục một phần khoảng trống về “kỹ thuật thực thi”, tăng tính minh bạch, nâng khả năng dự liệu và đồng bộ hóa cách thức phối hợp trong phạm vi thi hành, nhưng không thiết lập được các quy tắc làm thay đổi cơ chế đã được luật chuyên ngành quy định hoặc tạo ra cơ chế ưu tiên áp dụng pháp luật</w:t>
      </w:r>
      <w:r w:rsidRPr="00086837">
        <w:rPr>
          <w:bCs/>
        </w:rPr>
        <w:t>; theo đó trong trường hợp có khác nhau về cùng một vấn đề thì phải áp dụng văn bản có hiệu lực pháp lý cao hơn (khoản 3 Điều 58 Luật BHVBQPPL năm 2025). Vì vậy, mức độ “thống nhất” mà giải pháp tạo ra chủ yếu đạt được ở khâu quy trình, phối hợp và tổ chức thực hiện</w:t>
      </w:r>
      <w:r w:rsidR="00C26203">
        <w:rPr>
          <w:bCs/>
        </w:rPr>
        <w:t xml:space="preserve">, </w:t>
      </w:r>
      <w:r w:rsidRPr="00086837">
        <w:rPr>
          <w:bCs/>
        </w:rPr>
        <w:t>vẫn tiềm ẩn nguy cơ chồng chéo, khoảng trống pháp lý.</w:t>
      </w:r>
    </w:p>
    <w:p w14:paraId="10C88F43" w14:textId="77777777" w:rsidR="00F33B58" w:rsidRPr="00C26203" w:rsidRDefault="00F33B58" w:rsidP="00F33B58">
      <w:pPr>
        <w:spacing w:before="80" w:line="276" w:lineRule="auto"/>
        <w:ind w:firstLine="720"/>
        <w:jc w:val="both"/>
        <w:rPr>
          <w:bCs/>
          <w:color w:val="000000" w:themeColor="text1"/>
          <w:spacing w:val="-2"/>
        </w:rPr>
      </w:pPr>
      <w:r w:rsidRPr="00C26203">
        <w:rPr>
          <w:bCs/>
          <w:color w:val="000000" w:themeColor="text1"/>
          <w:spacing w:val="-2"/>
        </w:rPr>
        <w:t>- Tính tương thích với các điều ước quốc tế có liên quan mà nước Cộng hòa xã hội chủ nghĩa Việt Nam là thành viên:</w:t>
      </w:r>
    </w:p>
    <w:p w14:paraId="792CC03F" w14:textId="665E6BC7" w:rsidR="00F33B58" w:rsidRPr="00C26203" w:rsidRDefault="00F33B58" w:rsidP="00F33B58">
      <w:pPr>
        <w:spacing w:before="80" w:line="269" w:lineRule="auto"/>
        <w:ind w:firstLine="720"/>
        <w:jc w:val="both"/>
        <w:rPr>
          <w:bCs/>
          <w:color w:val="000000" w:themeColor="text1"/>
          <w:spacing w:val="-2"/>
        </w:rPr>
      </w:pPr>
      <w:r w:rsidRPr="00C26203">
        <w:rPr>
          <w:bCs/>
          <w:color w:val="000000" w:themeColor="text1"/>
          <w:spacing w:val="-2"/>
        </w:rPr>
        <w:t xml:space="preserve"> Giải pháp 1 tương thích về cơ chế tổ chức thực thi: Việc sửa đổi, bổ sung Nghị định số 81/2019/NĐ-CP theo tập trung chuẩn hóa cơ chế phối hợp liên ngành, chia sẻ thông tin, quy trình triển khai và các thủ tục bảo đảm quyền trong thi hành; đồng thời hoàn thiện cơ chế đầu mối và thủ tục thực thi phục vụ kiểm soát trong nước và ngăn ngừa phổ biến WMD. Theo đó, Giải pháp 1 hỗ trợ triển khai các nghĩa vụ kiểm soát trong nước theo các điều ước và cam kết quốc tế liên </w:t>
      </w:r>
      <w:r w:rsidRPr="00C26203">
        <w:rPr>
          <w:bCs/>
          <w:color w:val="000000" w:themeColor="text1"/>
          <w:spacing w:val="-2"/>
        </w:rPr>
        <w:lastRenderedPageBreak/>
        <w:t>quan (bao gồm Nghị quyết số 1540 của Hội đồng Bảo an Liên hợp quốc, Công ước cấm vũ khí hóa học, Công ước vũ khí sinh học) và tương thích với định hướng Khuyến nghị số 7 của FATF về trừng phạt tài chính mục tiêu khi giới hạn trong phạm vi chuẩn hóa quy trình, phối hợp và bảo đảm thi hành. Các nội dung sửa đổi theo hướng này không đặt ra nghĩa vụ trái ngược với các điều ước quốc tế mà Việt Nam là thành viên.</w:t>
      </w:r>
    </w:p>
    <w:p w14:paraId="44D838F5" w14:textId="77777777" w:rsidR="00F33B58" w:rsidRPr="00C26203" w:rsidRDefault="00F33B58" w:rsidP="00F33B58">
      <w:pPr>
        <w:spacing w:before="80" w:line="269" w:lineRule="auto"/>
        <w:ind w:firstLine="720"/>
        <w:jc w:val="both"/>
        <w:rPr>
          <w:bCs/>
          <w:color w:val="000000" w:themeColor="text1"/>
          <w:spacing w:val="-2"/>
        </w:rPr>
      </w:pPr>
      <w:r w:rsidRPr="00C26203">
        <w:rPr>
          <w:bCs/>
          <w:color w:val="000000" w:themeColor="text1"/>
          <w:spacing w:val="-2"/>
        </w:rPr>
        <w:t>Tuy nhiên, Giải pháp 1 giới hạn về mức độ đáp ứng nghĩa vụ nội luật hóa ở cấp luật: Nhiều nghĩa vụ quốc tế, đặc biệt theo Nghị quyết 1540 của Hội đồng Bảo an Liên hợp quốc, đặt ra yêu cầu quốc gia ban hành và thực thi pháp luật có hiệu lực, bao gồm chuẩn cấm và cơ chế cưỡng chế, xử lý vi phạm ở mức luật. Trong khi đó, sửa đổi nghị định theo Giải pháp 1 chỉ hoàn thiện cơ chế tổ chức thực hiện trong khuôn khổ pháp luật hiện hành, không thay thế yêu cầu luật hóa các nguyên tắc, chuẩn cấm và chế tài nền tảng. Vì vậy, mức độ tương thích của Giải pháp 1 đạt được ở tầng “cơ chế tổ chức thực thi”, nhưng chưa đạt mức “tương thích đầy đủ” theo tiêu chí nội luật hóa nghĩa vụ quốc tế đòi hỏi quy định ở cấp luật.</w:t>
      </w:r>
    </w:p>
    <w:p w14:paraId="360DE373" w14:textId="77777777" w:rsidR="00F33B58" w:rsidRPr="00086837" w:rsidRDefault="00F33B58" w:rsidP="00F33B58">
      <w:pPr>
        <w:spacing w:before="80" w:line="269" w:lineRule="auto"/>
        <w:ind w:firstLine="720"/>
        <w:jc w:val="both"/>
        <w:rPr>
          <w:bCs/>
        </w:rPr>
      </w:pPr>
      <w:r w:rsidRPr="00086837">
        <w:rPr>
          <w:bCs/>
        </w:rPr>
        <w:t>b) Tác động về kinh tế -  xã hội</w:t>
      </w:r>
    </w:p>
    <w:p w14:paraId="4DDB8174" w14:textId="77777777" w:rsidR="00F33B58" w:rsidRPr="00086837" w:rsidRDefault="00F33B58" w:rsidP="00F33B58">
      <w:pPr>
        <w:spacing w:before="80" w:line="269" w:lineRule="auto"/>
        <w:ind w:firstLine="720"/>
        <w:jc w:val="both"/>
        <w:rPr>
          <w:bCs/>
        </w:rPr>
      </w:pPr>
      <w:r w:rsidRPr="00086837">
        <w:rPr>
          <w:bCs/>
        </w:rPr>
        <w:t xml:space="preserve">- Đối với sản xuất, kinh doanh: </w:t>
      </w:r>
    </w:p>
    <w:p w14:paraId="79020E56" w14:textId="76ED662A" w:rsidR="00F33B58" w:rsidRDefault="00F33B58" w:rsidP="00F33B58">
      <w:pPr>
        <w:spacing w:before="80" w:line="269" w:lineRule="auto"/>
        <w:ind w:firstLine="720"/>
        <w:jc w:val="both"/>
        <w:rPr>
          <w:bCs/>
          <w:spacing w:val="-2"/>
        </w:rPr>
      </w:pPr>
      <w:r w:rsidRPr="00086837">
        <w:rPr>
          <w:bCs/>
          <w:spacing w:val="-2"/>
        </w:rPr>
        <w:t>Giải pháp 1 tác động chủ yếu theo hướng nâng cao tính minh bạch và khả năng dự liệu của môi trường tuân thủ, thay vì tạo thêm nghĩa vụ tuân thủ mới. Tác động tích cực thể hiện ở việc chuẩn hóa quy trình, thủ tục, cơ chế phối hợp và trách nhiệm giải trình, qua đó giảm tình trạng áp dụng không thống nhất giữa các cơ quan, hạn chế chi phí phát sinh do chậm trễ, chồng chéo hoặc yêu cầu thông tin lặp lại; đồng thời giảm rủi ro áp dụng biện pháp sai hoặc nhầm lẫn, bảo vệ tốt hơn các giao dịch hợp pháp và tính liên tục của chuỗi cung ứng.</w:t>
      </w:r>
      <w:r>
        <w:rPr>
          <w:bCs/>
          <w:spacing w:val="-2"/>
        </w:rPr>
        <w:t xml:space="preserve"> </w:t>
      </w:r>
      <w:r w:rsidRPr="002346FB">
        <w:rPr>
          <w:bCs/>
          <w:spacing w:val="-2"/>
        </w:rPr>
        <w:t xml:space="preserve">Do chưa có bộ chỉ số và số liệu thống kê chuẩn hóa riêng cho lĩnh vực phòng, chống phổ biến và tài trợ phổ biến WMD, các nội dung định lượng dưới đây được xây dựng theo phương pháp </w:t>
      </w:r>
      <w:r w:rsidRPr="002346FB">
        <w:rPr>
          <w:spacing w:val="-2"/>
        </w:rPr>
        <w:t>giả định</w:t>
      </w:r>
      <w:r w:rsidRPr="002346FB">
        <w:rPr>
          <w:bCs/>
          <w:spacing w:val="-2"/>
        </w:rPr>
        <w:t xml:space="preserve"> dựa trên số liệu nền và tài liệu tham chiếu, nhằm minh họa biên độ tác động và sẽ được cập nhật </w:t>
      </w:r>
      <w:r w:rsidR="0031578E">
        <w:rPr>
          <w:bCs/>
          <w:spacing w:val="-2"/>
        </w:rPr>
        <w:t>trong giai đoạn xây dựng hồ sơ dự án Luật.</w:t>
      </w:r>
    </w:p>
    <w:p w14:paraId="5EECF938" w14:textId="02144C4F" w:rsidR="00F33B58" w:rsidRPr="00F444FF" w:rsidRDefault="00F33B58" w:rsidP="00F33B58">
      <w:pPr>
        <w:spacing w:before="80" w:line="269" w:lineRule="auto"/>
        <w:ind w:firstLine="720"/>
        <w:jc w:val="both"/>
        <w:rPr>
          <w:bCs/>
          <w:spacing w:val="-2"/>
        </w:rPr>
      </w:pPr>
      <w:r w:rsidRPr="00F444FF">
        <w:rPr>
          <w:bCs/>
          <w:spacing w:val="-2"/>
        </w:rPr>
        <w:t xml:space="preserve">Để minh họa biên độ tác động của việc chuẩn hóa quy trình phối hợp liên ngành, báo cáo sử dụng số liệu nền và dải ước tính theo kịch bản, với các nguyên tắc sau: (i) Nguồn số liệu nền gồm: thống kê thời gian thông quan của Tổng cục Hải quan; số liệu, khung tham chiếu về chi phí tuân thủ thủ tục xuất nhập khẩu của Ngân hàng Thế giới (Doing Business - Trading Across Borders, các năm trước 2021); phản ánh, khảo sát về chi phí tuân thủ thủ tục hành chính của VCCI; thông tin tổng hợp về rà soát tuân thủ giao dịch thanh toán quốc tế tại một số ngân hàng thương mại do Ngân hàng Nhà nước công bố, thu thập; (ii) Phạm vi áp dụng ước tính tập trung vào các tình huống có phối hợp liên ngành hoặc có rà soát tuân </w:t>
      </w:r>
      <w:r w:rsidRPr="00F444FF">
        <w:rPr>
          <w:bCs/>
          <w:spacing w:val="-2"/>
        </w:rPr>
        <w:lastRenderedPageBreak/>
        <w:t>thủ tăng cường: lô hàng thuộc diện kiểm tra chuyên ngành, đòi hỏi xác minh bổ sung; hồ sơ có sự tham gia của nhiều cơ quan quản lý; giao dịch thanh toán quốc tế cần đối chiếu danh sách cảnh báo; (iii) Cách tính: thời gian tiết kiệm = thời gian xử lý trung bình × tỷ lệ giảm theo kịch bản; chi phí lưu kho, lưu bãi phát sinh = số ngày kéo dài × đơn giá lưu bãi</w:t>
      </w:r>
      <w:r w:rsidR="007A3470">
        <w:rPr>
          <w:bCs/>
          <w:spacing w:val="-2"/>
        </w:rPr>
        <w:t>/</w:t>
      </w:r>
      <w:r w:rsidRPr="00F444FF">
        <w:rPr>
          <w:bCs/>
          <w:spacing w:val="-2"/>
        </w:rPr>
        <w:t>container; thời gian xác minh giao dịch = thời gian xác minh hiện hành × tỷ lệ rút ngắn theo kịch bản.</w:t>
      </w:r>
    </w:p>
    <w:p w14:paraId="4421BC79" w14:textId="77777777" w:rsidR="00F33B58" w:rsidRPr="00F444FF" w:rsidRDefault="00F33B58" w:rsidP="00F33B58">
      <w:pPr>
        <w:spacing w:before="80" w:line="269" w:lineRule="auto"/>
        <w:ind w:firstLine="720"/>
        <w:jc w:val="both"/>
        <w:rPr>
          <w:bCs/>
          <w:spacing w:val="-2"/>
        </w:rPr>
      </w:pPr>
      <w:r w:rsidRPr="00F444FF">
        <w:rPr>
          <w:bCs/>
          <w:spacing w:val="-2"/>
        </w:rPr>
        <w:t>Theo số liệu nền của Tổng cục Hải quan, thời gian thông quan trung bình đối với hàng xuất khẩu dao động khoảng 55-60 giờ, hàng nhập khẩu khoảng 75-80 giờ; lô hàng thuộc diện kiểm tra chuyên ngành kéo dài thêm 2-3 ngày làm việc. Trên cơ sở đó, với kịch bản thấp (chuẩn hóa phối hợp ở mức tối thiểu) ước tính giảm khoảng 10% thời gian xử lý hồ sơ liên ngành; với kịch bản cao (chuẩn hóa đầy đủ đầu mối, thời hạn, quy trình, cơ chế phản hồi) ước tính giảm khoảng 20% thời gian xử lý hồ sơ liên ngành</w:t>
      </w:r>
      <w:r w:rsidRPr="00F444FF">
        <w:rPr>
          <w:rStyle w:val="FootnoteReference"/>
          <w:bCs/>
          <w:spacing w:val="-2"/>
        </w:rPr>
        <w:footnoteReference w:id="20"/>
      </w:r>
      <w:r w:rsidRPr="00F444FF">
        <w:rPr>
          <w:bCs/>
          <w:spacing w:val="-2"/>
        </w:rPr>
        <w:t>. Theo Ngân hàng Thế giới (Doing Business - Trading Across Borders, các năm trước 2021), chi phí tuân thủ thủ tục xuất - nhập khẩu chiếm khoảng 2-4% giá trị lô hàng; chi phí lưu kho, lưu bãi do chậm trễ chiếm tỷ trọng đáng kể. Trong trường hợp hàng hóa bị giữ tại cửa khẩu để xác minh bổ sung, chi phí lưu container tại cảng biển ghi nhận dao động 20-40 USD/container/ngày; mức chi phí phát sinh được tính theo số ngày kéo dài thực tế nhân với đơn giá tương ứng</w:t>
      </w:r>
      <w:r w:rsidRPr="00F444FF">
        <w:rPr>
          <w:rStyle w:val="FootnoteReference"/>
          <w:bCs/>
          <w:spacing w:val="-2"/>
        </w:rPr>
        <w:footnoteReference w:id="21"/>
      </w:r>
      <w:r w:rsidRPr="00F444FF">
        <w:rPr>
          <w:bCs/>
          <w:spacing w:val="-2"/>
        </w:rPr>
        <w:t>. Báo cáo của VCCI ghi nhận khoảng 58-60% doanh nghiệp phản ánh từng phải bổ sung hồ sơ nhiều lần do yêu cầu chưa thống nhất; đối với nhóm doanh nghiệp hoạt động trong lĩnh vực hàng hóa lưỡng dụng, hóa chất và thiết bị nhạy cảm, khảo sát chuyên đề của VCCI phản ánh chi phí tư vấn pháp lý và điều chỉnh quy trình nội bộ làm tăng tổng chi phí tuân thủ khoảng 5 - 7%/năm so với doanh nghiệp thông thường trong cùng ngành</w:t>
      </w:r>
      <w:r w:rsidRPr="00F444FF">
        <w:rPr>
          <w:rStyle w:val="FootnoteReference"/>
          <w:bCs/>
          <w:spacing w:val="-2"/>
        </w:rPr>
        <w:footnoteReference w:id="22"/>
      </w:r>
      <w:r w:rsidRPr="00F444FF">
        <w:rPr>
          <w:bCs/>
          <w:spacing w:val="-2"/>
        </w:rPr>
        <w:t>. Đối với tổ chức tài chính và doanh nghiệp có giao dịch quốc tế, theo Ngân hàng Nhà nước Việt Nam, tỷ lệ giao dịch thanh toán quốc tế bị tạm dừng để rà soát tuân thủ tại một số ngân hàng thương mại khoảng 0,5</w:t>
      </w:r>
      <w:r>
        <w:rPr>
          <w:bCs/>
          <w:spacing w:val="-2"/>
        </w:rPr>
        <w:t>-</w:t>
      </w:r>
      <w:r w:rsidRPr="00F444FF">
        <w:rPr>
          <w:bCs/>
          <w:spacing w:val="-2"/>
        </w:rPr>
        <w:t>1% tổng số giao dịch quốc tế; theo kịch bản quy trình thống nhất (cập nhật</w:t>
      </w:r>
      <w:r>
        <w:rPr>
          <w:bCs/>
          <w:spacing w:val="-2"/>
        </w:rPr>
        <w:t xml:space="preserve">, </w:t>
      </w:r>
      <w:r w:rsidRPr="00F444FF">
        <w:rPr>
          <w:bCs/>
          <w:spacing w:val="-2"/>
        </w:rPr>
        <w:t>công bố danh sách và hướng dẫn xử lý tập trung), thời gian xác minh giao dịch được đánh giá rút ngắn 30</w:t>
      </w:r>
      <w:r>
        <w:rPr>
          <w:bCs/>
          <w:spacing w:val="-2"/>
        </w:rPr>
        <w:t>-</w:t>
      </w:r>
      <w:r w:rsidRPr="00F444FF">
        <w:rPr>
          <w:bCs/>
          <w:spacing w:val="-2"/>
        </w:rPr>
        <w:t>40% so với quy trình phân tán hiện hành.</w:t>
      </w:r>
    </w:p>
    <w:p w14:paraId="5D4853B5" w14:textId="06225DD6" w:rsidR="00F33B58" w:rsidRPr="009832A6" w:rsidRDefault="00F33B58" w:rsidP="004035E0">
      <w:pPr>
        <w:spacing w:before="80" w:line="269" w:lineRule="auto"/>
        <w:ind w:firstLine="720"/>
        <w:jc w:val="both"/>
        <w:rPr>
          <w:bCs/>
          <w:spacing w:val="-2"/>
        </w:rPr>
      </w:pPr>
      <w:r w:rsidRPr="009832A6">
        <w:rPr>
          <w:bCs/>
          <w:spacing w:val="-2"/>
        </w:rPr>
        <w:t xml:space="preserve">Bên cạnh các tác động tích cực, Giải pháp 1 vẫn phát sinh tác động bất lợi về chi phí tuân thủ thực tế do phạm vi điều chỉnh chủ yếu ở mức quy trình và phối hợp, trong khi chưa tạo được cơ chế ràng buộc đủ mạnh để khắc phục triệt để tình trạng áp dụng chưa thống nhất giữa các cơ quan. Do đó, doanh nghiệp vẫn phát sinh chi phí vận hành như: bổ sung hồ sơ theo yêu cầu khác nhau, kéo dài thời gian xác minh, cập nhật quy trình nội bộ/hệ thống CNTT và đào tạo lại nhân sự </w:t>
      </w:r>
      <w:r w:rsidRPr="009832A6">
        <w:rPr>
          <w:bCs/>
          <w:spacing w:val="-2"/>
        </w:rPr>
        <w:lastRenderedPageBreak/>
        <w:t>khi hướng dẫn điều hành thay đổi. Đối với nhóm ngành nhạy cảm (hàng hóa lưỡng dụng, hóa chất, thiết bị đặc thù), tổng chi phí tuân thủ thực tế dự kiến duy trì xu hướng tăng khoảng 5</w:t>
      </w:r>
      <w:r>
        <w:rPr>
          <w:bCs/>
          <w:spacing w:val="-2"/>
        </w:rPr>
        <w:t>-</w:t>
      </w:r>
      <w:r w:rsidRPr="009832A6">
        <w:rPr>
          <w:bCs/>
          <w:spacing w:val="-2"/>
        </w:rPr>
        <w:t xml:space="preserve">7%/năm so với doanh nghiệp thông thường trong cùng ngành; mức tăng này phản ánh chi phí điều chỉnh </w:t>
      </w:r>
      <w:r w:rsidR="00941C49">
        <w:rPr>
          <w:bCs/>
          <w:spacing w:val="-2"/>
        </w:rPr>
        <w:t>-</w:t>
      </w:r>
      <w:r w:rsidRPr="009832A6">
        <w:rPr>
          <w:bCs/>
          <w:spacing w:val="-2"/>
        </w:rPr>
        <w:t xml:space="preserve"> phối hợp </w:t>
      </w:r>
      <w:r w:rsidR="00941C49">
        <w:rPr>
          <w:bCs/>
          <w:spacing w:val="-2"/>
        </w:rPr>
        <w:t>-</w:t>
      </w:r>
      <w:r w:rsidRPr="009832A6">
        <w:rPr>
          <w:bCs/>
          <w:spacing w:val="-2"/>
        </w:rPr>
        <w:t xml:space="preserve"> chậm trễ trong thực thi, không xuất phát từ việc đặt thêm nghĩa vụ pháp lý bắt buộc mới</w:t>
      </w:r>
    </w:p>
    <w:p w14:paraId="3AC03A38" w14:textId="77777777" w:rsidR="00F33B58" w:rsidRPr="00086837" w:rsidRDefault="00F33B58" w:rsidP="004035E0">
      <w:pPr>
        <w:spacing w:before="80" w:line="269" w:lineRule="auto"/>
        <w:ind w:firstLine="720"/>
        <w:jc w:val="both"/>
        <w:rPr>
          <w:bCs/>
          <w:spacing w:val="-2"/>
        </w:rPr>
      </w:pPr>
      <w:r w:rsidRPr="00086837">
        <w:rPr>
          <w:bCs/>
          <w:spacing w:val="-2"/>
        </w:rPr>
        <w:t>Đối chứng quốc tế, nghiên cứu của IMF (WP/21/153) cho thấy các quốc gia bị đưa vào “Danh sách xám” của FATF thường chịu tác động bất lợi về dòng vốn, với mức giảm bình quân khoảng 7,6% GDP, trong đó FDI giảm khoảng 3,0% GDP, đầu tư gián tiếp giảm khoảng 2,9% GDP và các dòng vốn khác (gồm tín dụng và tài trợ thương mại) giảm khoảng 3,6% GDP</w:t>
      </w:r>
      <w:r w:rsidRPr="00086837">
        <w:rPr>
          <w:rStyle w:val="FootnoteReference"/>
          <w:bCs/>
          <w:spacing w:val="-2"/>
        </w:rPr>
        <w:footnoteReference w:id="23"/>
      </w:r>
      <w:r w:rsidRPr="00086837">
        <w:rPr>
          <w:bCs/>
          <w:spacing w:val="-2"/>
        </w:rPr>
        <w:t>; trong bối cảnh đó, nếu khuôn khổ pháp lý về phòng, chống tài trợ phổ biến chưa tạo bước tiến đáng kể về hiệu lực và tính thống nhất, rủi ro áp lực tuân thủ từ bên ngoài và chi phí giao dịch tăng vẫn hiện hữu.</w:t>
      </w:r>
    </w:p>
    <w:p w14:paraId="7B864CA8" w14:textId="77777777" w:rsidR="00F33B58" w:rsidRPr="00086837" w:rsidRDefault="00F33B58" w:rsidP="004035E0">
      <w:pPr>
        <w:spacing w:before="80" w:line="269" w:lineRule="auto"/>
        <w:ind w:firstLine="720"/>
        <w:jc w:val="both"/>
        <w:rPr>
          <w:bCs/>
        </w:rPr>
      </w:pPr>
      <w:r w:rsidRPr="00086837">
        <w:rPr>
          <w:bCs/>
        </w:rPr>
        <w:t xml:space="preserve">- Đối với việc làm: </w:t>
      </w:r>
    </w:p>
    <w:p w14:paraId="6A37D2D2" w14:textId="77777777" w:rsidR="00F33B58" w:rsidRPr="00086837" w:rsidRDefault="00F33B58" w:rsidP="004035E0">
      <w:pPr>
        <w:spacing w:before="80" w:line="269" w:lineRule="auto"/>
        <w:ind w:firstLine="720"/>
        <w:jc w:val="both"/>
        <w:rPr>
          <w:bCs/>
        </w:rPr>
      </w:pPr>
      <w:r w:rsidRPr="00086837">
        <w:rPr>
          <w:bCs/>
        </w:rPr>
        <w:t xml:space="preserve">Giải pháp 1 </w:t>
      </w:r>
      <w:r w:rsidRPr="00086837">
        <w:t>không tạo biến động lớn về tổng số việc làm trên thị trường lao động,</w:t>
      </w:r>
      <w:r w:rsidRPr="00086837">
        <w:rPr>
          <w:bCs/>
        </w:rPr>
        <w:t xml:space="preserve"> do nội dung sửa đổi chủ yếu tập trung vào chuẩn hóa quy trình phối hợp, thủ tục bảo đảm quyền và cơ chế tổ chức thực hiện, không đặt ra nghĩa vụ tuân thủ mới ở quy mô làm thay đổi nhu cầu lao động toàn nền kinh tế.</w:t>
      </w:r>
    </w:p>
    <w:p w14:paraId="7A9FC3FD" w14:textId="77777777" w:rsidR="00F33B58" w:rsidRPr="00086837" w:rsidRDefault="00F33B58" w:rsidP="004035E0">
      <w:pPr>
        <w:spacing w:before="80" w:line="269" w:lineRule="auto"/>
        <w:ind w:firstLine="720"/>
        <w:jc w:val="both"/>
        <w:rPr>
          <w:bCs/>
        </w:rPr>
      </w:pPr>
      <w:r w:rsidRPr="00086837">
        <w:rPr>
          <w:bCs/>
        </w:rPr>
        <w:t>Tác động chủ yếu thể hiện ở cơ cấu việc làm và yêu cầu kỹ năng trong các ngành có mức độ rủi ro cao hơn như xuất nhập khẩu hàng hóa lưỡng dụng, logistics quốc tế, hóa chất, sinh học, tài chính, ngân hàng, do doanh nghiệp mở rộng nhu cầu nhân sự phụ trách tuân thủ, kiểm soát rủi ro, quản trị chuỗi cung ứng và lưu trữ, quản lý hồ sơ. Theo Tổng cục Thống kê, lực lượng lao động năm 2024 đạt 52,4 triệu người, trong đó công nghiệp - xây dựng chiếm 33,4% và dịch vụ chiếm 39,1%, là hai khu vực có tỷ trọng doanh nghiệp tham gia xuất nhập khẩu lớn</w:t>
      </w:r>
      <w:r w:rsidRPr="00086837">
        <w:rPr>
          <w:rStyle w:val="FootnoteReference"/>
          <w:bCs/>
        </w:rPr>
        <w:footnoteReference w:id="24"/>
      </w:r>
      <w:r w:rsidRPr="00086837">
        <w:rPr>
          <w:bCs/>
        </w:rPr>
        <w:t>; riêng logistics có hơn 30.000 doanh nghiệp với khoảng 1,2 triệu lao động (VLA)</w:t>
      </w:r>
      <w:r w:rsidRPr="00086837">
        <w:rPr>
          <w:rStyle w:val="FootnoteReference"/>
          <w:bCs/>
        </w:rPr>
        <w:footnoteReference w:id="25"/>
      </w:r>
      <w:r w:rsidRPr="00086837">
        <w:rPr>
          <w:bCs/>
        </w:rPr>
        <w:t>. Việc chuẩn hóa quy trình và trách nhiệm giải trình giúp giảm nhu cầu lao động gián tiếp phát sinh từ yêu cầu không thống nhất giữa các cơ quan; theo Báo cáo PCI 2023 của VCCI, 58-60% doanh nghiệp từng phải bổ sung hồ sơ nhiều lần do yêu cầu khác nhau, làm tăng chi phí nhân sự và thời gian chờ</w:t>
      </w:r>
      <w:r w:rsidRPr="00086837">
        <w:rPr>
          <w:rStyle w:val="FootnoteReference"/>
          <w:bCs/>
        </w:rPr>
        <w:footnoteReference w:id="26"/>
      </w:r>
      <w:r w:rsidRPr="00086837">
        <w:rPr>
          <w:bCs/>
        </w:rPr>
        <w:t xml:space="preserve">. Quy trình được thống nhất tạo điều kiện nâng cao năng suất lao động, đặc biệt trong bối cảnh chi phí tuân thủ thủ tục xuất nhập khẩu chiếm 2 -4% giá trị lô hàng. Các vị trí tuân thủ, kiểm soát rủi ro có xu hướng cải thiện thu nhập tương đối; theo Bộ Lao động - Thương binh và Xã hội, nhóm lao động kỹ </w:t>
      </w:r>
      <w:r w:rsidRPr="00086837">
        <w:rPr>
          <w:bCs/>
        </w:rPr>
        <w:lastRenderedPageBreak/>
        <w:t>năng cao ghi nhận mức tăng thu nhập 7,2%/năm</w:t>
      </w:r>
      <w:r w:rsidRPr="00086837">
        <w:rPr>
          <w:rStyle w:val="FootnoteReference"/>
          <w:bCs/>
        </w:rPr>
        <w:footnoteReference w:id="27"/>
      </w:r>
      <w:r w:rsidRPr="00086837">
        <w:rPr>
          <w:bCs/>
        </w:rPr>
        <w:t>. Đồng thời, nhu cầu tập huấn và đào tạo nội bộ tăng rõ trong nhóm doanh nghiệp rủi ro cao; khảo sát của VLA cho thấy 50% doanh nghiệp logistics có nhu cầu tuyển thêm 15-20% nhân sự, trong khi lao động được đào tạo bài bản chỉ đạt 5-7%, tạo áp lực nâng cao kỹ năng tuân thủ và nhận diện rủi ro.</w:t>
      </w:r>
    </w:p>
    <w:p w14:paraId="5E2EAADB" w14:textId="77777777" w:rsidR="00F33B58" w:rsidRPr="00086837" w:rsidRDefault="00F33B58" w:rsidP="004035E0">
      <w:pPr>
        <w:spacing w:before="80" w:line="269" w:lineRule="auto"/>
        <w:ind w:firstLine="720"/>
        <w:jc w:val="both"/>
        <w:rPr>
          <w:bCs/>
        </w:rPr>
      </w:pPr>
      <w:r w:rsidRPr="00086837">
        <w:rPr>
          <w:bCs/>
        </w:rPr>
        <w:t>Tác động tích cực nêu trên đi kèm những hạn chế xuất phát từ việc phạm vi điều chỉnh chỉ nằm ở cấp nghị định: (1) hiệu lực pháp lý của nghị định không đủ để quy định đầy đủ điều kiện, căn cứ và giới hạn áp dụng các biện pháp kiểm soát có liên quan đến quyền con người và quyền công dân; mức độ ràng buộc và bảo đảm quyền tăng chậm, không tạo chuyển biến rõ trong quản trị rủi ro phổ biến WMD; (2) sửa đổi nghị định không khắc phục được sự thiếu đồng bộ pháp luật giữa các lĩnh vực liên quan (ngoại thương, hải quan, hóa chất, sinh học, tài chính, năng lượng nguyên tử), dẫn tới nguy cơ duy trì áp dụng không thống nhất giữa các cơ quan và không hình thành chuỗi kiểm soát rủi ro đầy đủ từ nghiên cứu, sản xuất, vận chuyển, sử dụng cuối; (3) mức độ đáp ứng chuẩn mực quốc tế chỉ cải thiện hạn chế vì nhiều yêu cầu của FATF về phòng, chống tài trợ phổ biến cần được quy định tại cấp luật; theo IMF (WP/21/153), các quốc gia chưa đáp ứng chuẩn mực FATF có thể đối mặt với giảm dòng vốn 7,6% GDP, trong đó FDI giảm 3,0% GDP</w:t>
      </w:r>
      <w:r w:rsidRPr="00086837">
        <w:rPr>
          <w:rStyle w:val="FootnoteReference"/>
          <w:bCs/>
        </w:rPr>
        <w:footnoteReference w:id="28"/>
      </w:r>
      <w:r w:rsidRPr="00086837">
        <w:rPr>
          <w:bCs/>
        </w:rPr>
        <w:t>, phản ánh rủi ro tuân thủ quốc tế kéo dài nếu khuôn khổ chỉ dừng ở nghị định; (4) chi phí tuân thủ kéo dài đối với doanh nghiệp, nhất là doanh nghiệp trong nhóm hàng hóa lưỡng dụng, hóa chất, sinh học; khảo sát của VCCI cho thấy chi phí tư vấn, rà soát và điều chỉnh quy trình nội bộ tăng 5-7%/năm so với doanh nghiệp thông thường; (5) do không điều chỉnh được yêu cầu chia sẻ dữ liệu và cơ chế phối hợp liên ngành theo chuỗi, nguy cơ đứt đoạn thông tin, thiếu rõ ràng trong phân công trách nhiệm và chậm trễ xử lý vẫn hiện hữu, tác động tiêu cực đến năng suất và hiệu quả thực thi, đặc biệt trong giai đoạn doanh nghiệp phải cập nhật quy trình và đào tạo lại nhân sự.</w:t>
      </w:r>
    </w:p>
    <w:p w14:paraId="3F5D8DC4" w14:textId="77777777" w:rsidR="00F33B58" w:rsidRPr="00086837" w:rsidRDefault="00F33B58" w:rsidP="004035E0">
      <w:pPr>
        <w:spacing w:before="80" w:line="269" w:lineRule="auto"/>
        <w:ind w:firstLine="720"/>
        <w:jc w:val="both"/>
        <w:rPr>
          <w:bCs/>
        </w:rPr>
      </w:pPr>
      <w:r w:rsidRPr="00086837">
        <w:rPr>
          <w:bCs/>
        </w:rPr>
        <w:t xml:space="preserve">- Đối với dân tộc, tôn giáo: </w:t>
      </w:r>
    </w:p>
    <w:p w14:paraId="6B48A9B7" w14:textId="77777777" w:rsidR="007A3470" w:rsidRDefault="00F33B58" w:rsidP="004035E0">
      <w:pPr>
        <w:spacing w:before="80" w:line="269" w:lineRule="auto"/>
        <w:ind w:firstLine="720"/>
        <w:jc w:val="both"/>
      </w:pPr>
      <w:r w:rsidRPr="00086837">
        <w:rPr>
          <w:bCs/>
        </w:rPr>
        <w:t xml:space="preserve">Giải pháp 1 </w:t>
      </w:r>
      <w:r w:rsidRPr="00086837">
        <w:t xml:space="preserve">không đặt ra quy định phân biệt đối xử theo dân tộc hoặc tôn giáo, do đó về nguyên tắc không ảnh hưởng đến quyền được đối xử bình đẳng giữa các dân tộc và không làm thay đổi quyền tự do tín ngưỡng, tôn giáo. Tác động (nếu có), là gián tiếp theo hướng tích cực: việc chuẩn hóa quy trình, làm rõ trách nhiệm giải trình, tăng công khai, minh bạch và thiết lập cơ chế tiếp nhận, xử lý kiến nghị giúp hạn chế nguy cơ áp dụng biện pháp kiểm soát tùy tiện hoặc không thống nhất đối với mọi tổ chức, cá nhân, trong đó có các chủ thể hoạt động hợp pháp tại vùng đồng bào dân tộc thiểu số, vùng sâu, vùng xa. </w:t>
      </w:r>
    </w:p>
    <w:p w14:paraId="03147BDD" w14:textId="5FC031F0" w:rsidR="00F33B58" w:rsidRPr="00086837" w:rsidRDefault="00F33B58" w:rsidP="004035E0">
      <w:pPr>
        <w:spacing w:before="80" w:line="269" w:lineRule="auto"/>
        <w:ind w:firstLine="720"/>
        <w:jc w:val="both"/>
      </w:pPr>
      <w:r w:rsidRPr="00086837">
        <w:lastRenderedPageBreak/>
        <w:t>Về bảo tồn và phát huy giá trị truyền thống của các dân tộc, giải pháp này không điều chỉnh trực tiếp các nội dung văn hóa - xã hội, nên không làm phát sinh tác động hạn chế; ngược lại, việc bảo đảm thủ tục và quyền trong thực thi có ý nghĩa hỗ trợ môi trường ổn định, minh bạch cho các hoạt động hợp pháp của cộng đồng. Đối với cơ hội phát triển tại vùng đồng bào dân tộc thiểu số, vùng sâu, vùng xa, giải pháp này không tạo tác động trực tiếp rõ nét do phạm vi điều chỉnh chủ yếu là tổ chức thi hành; tuy nhiên, nếu quy trình phối hợp và cung cấp thông tin được chuẩn hóa, minh bạch và thuận lợi hơn, có thể góp phần giảm chi phí tuân thủ và chi phí phát sinh cho tổ chức, cá nhân ở các khu vực này khi thực hiện các hoạt động hợp pháp có liên quan (ví dụ vận chuyển, giao dịch, tiếp nhận tài trợ). Việc đánh giá trên chưa thể lượng hóa chi tiết do thiếu số liệu phân tách theo nhóm dân tộc, tôn giáo và theo vùng địa lý, đồng thời nhiều thông tin liên quan kiểm soát trong lĩnh vực này có tính nhạy cảm, khó tổng hợp công khai.</w:t>
      </w:r>
    </w:p>
    <w:p w14:paraId="43E070BA" w14:textId="77777777" w:rsidR="00F33B58" w:rsidRPr="00086837" w:rsidRDefault="00F33B58" w:rsidP="004035E0">
      <w:pPr>
        <w:spacing w:before="80" w:line="269" w:lineRule="auto"/>
        <w:ind w:firstLine="720"/>
        <w:jc w:val="both"/>
        <w:rPr>
          <w:bCs/>
        </w:rPr>
      </w:pPr>
      <w:r w:rsidRPr="00086837">
        <w:rPr>
          <w:bCs/>
        </w:rPr>
        <w:t xml:space="preserve">- Đối với văn hóa, giáo dục: </w:t>
      </w:r>
    </w:p>
    <w:p w14:paraId="14516631" w14:textId="77777777" w:rsidR="00F33B58" w:rsidRPr="00086837" w:rsidRDefault="00F33B58" w:rsidP="004035E0">
      <w:pPr>
        <w:spacing w:before="80" w:line="269" w:lineRule="auto"/>
        <w:ind w:firstLine="720"/>
        <w:jc w:val="both"/>
        <w:rPr>
          <w:bCs/>
        </w:rPr>
      </w:pPr>
      <w:r w:rsidRPr="00086837">
        <w:rPr>
          <w:bCs/>
        </w:rPr>
        <w:t>Giải pháp 1 không điều chỉnh trực tiếp các quan hệ về văn hóa và giáo dục, nên về nguyên tắc không làm phát sinh tác động trực tiếp đến việc bảo tồn, phát huy di sản văn hóa vật thể, phi vật thể; điều kiện tham gia sáng tạo và hưởng thụ đời sống văn hóa tinh thần; chuẩn mực đạo đức, lối sống, văn hóa gia đình và cộng đồng; cũng như mục tiêu, nội dung, chương trình và cơ hội học tập trong hệ thống giáo dục và đào tạo.</w:t>
      </w:r>
    </w:p>
    <w:p w14:paraId="11CA2F62" w14:textId="77777777" w:rsidR="00F33B58" w:rsidRPr="00086837" w:rsidRDefault="00F33B58" w:rsidP="004035E0">
      <w:pPr>
        <w:spacing w:before="80" w:line="269" w:lineRule="auto"/>
        <w:ind w:firstLine="720"/>
        <w:jc w:val="both"/>
        <w:rPr>
          <w:bCs/>
        </w:rPr>
      </w:pPr>
      <w:r w:rsidRPr="00086837">
        <w:rPr>
          <w:bCs/>
        </w:rPr>
        <w:t>Tác động liên quan (nếu có) mang tính gián tiếp, chủ yếu thông qua yêu cầu chuẩn hóa quy trình, tăng cường minh bạch và công khai thủ tục, làm rõ trách nhiệm giải trình và cơ chế tiếp nhận, xử lý kiến nghị. Các yếu tố này góp phần bảo đảm môi trường pháp lý ổn định cho hoạt động của cơ sở văn hóa và giáo dục. Quy mô hệ thống văn hóa - giáo dục cho thấy mức độ cần bảo đảm tính ổn định trong áp dụng thủ tục hành chính: cả nước hiện có 71.000 di sản văn hóa các loại được kiểm kê</w:t>
      </w:r>
      <w:r w:rsidRPr="00086837">
        <w:rPr>
          <w:rStyle w:val="FootnoteReference"/>
          <w:bCs/>
        </w:rPr>
        <w:footnoteReference w:id="29"/>
      </w:r>
      <w:r w:rsidRPr="00086837">
        <w:rPr>
          <w:bCs/>
        </w:rPr>
        <w:t>; có 53.979 cơ sở giáo dục với 25,25 triệu người học ở tất cả các cấp</w:t>
      </w:r>
      <w:r w:rsidRPr="00086837">
        <w:rPr>
          <w:rStyle w:val="FootnoteReference"/>
          <w:bCs/>
        </w:rPr>
        <w:footnoteReference w:id="30"/>
      </w:r>
      <w:r w:rsidRPr="00086837">
        <w:rPr>
          <w:bCs/>
        </w:rPr>
        <w:t>. Riêng hệ thống giáo dục đại học có 2.068.522 sinh viên, trong đó một bộ phận lớn tham gia các hoạt động hợp tác quốc tế về nghiên cứu, trao đổi học thuật, tiếp nhận thiết bị, vật tư hỗ trợ học tập và thực hành</w:t>
      </w:r>
      <w:r w:rsidRPr="00086837">
        <w:rPr>
          <w:rStyle w:val="FootnoteReference"/>
          <w:bCs/>
        </w:rPr>
        <w:footnoteReference w:id="31"/>
      </w:r>
      <w:r w:rsidRPr="00086837">
        <w:rPr>
          <w:bCs/>
        </w:rPr>
        <w:t>. Việc bảo đảm quy trình minh bạch và thống nhất trên toàn hệ thống giúp giảm rủi ro áp dụng biện pháp kiểm tra, xác minh không đồng đều đối với các hoạt động hợp pháp của cơ sở văn hóa, giáo dục và các tổ chức, cá nhân tham gia giao lưu - hợp tác trong nước và quốc tế.</w:t>
      </w:r>
    </w:p>
    <w:p w14:paraId="14888451" w14:textId="77777777" w:rsidR="00F33B58" w:rsidRPr="00086837" w:rsidRDefault="00F33B58" w:rsidP="00F33B58">
      <w:pPr>
        <w:spacing w:before="80" w:line="276" w:lineRule="auto"/>
        <w:ind w:firstLine="720"/>
        <w:jc w:val="both"/>
        <w:rPr>
          <w:bCs/>
        </w:rPr>
      </w:pPr>
      <w:r w:rsidRPr="00086837">
        <w:rPr>
          <w:bCs/>
        </w:rPr>
        <w:lastRenderedPageBreak/>
        <w:t xml:space="preserve">- Đối với y tế: </w:t>
      </w:r>
    </w:p>
    <w:p w14:paraId="5448D65D" w14:textId="77777777" w:rsidR="00F33B58" w:rsidRPr="00086837" w:rsidRDefault="00F33B58" w:rsidP="00F33B58">
      <w:pPr>
        <w:spacing w:before="80" w:line="276" w:lineRule="auto"/>
        <w:ind w:firstLine="720"/>
        <w:jc w:val="both"/>
        <w:rPr>
          <w:bCs/>
          <w:spacing w:val="-2"/>
        </w:rPr>
      </w:pPr>
      <w:r w:rsidRPr="00086837">
        <w:rPr>
          <w:bCs/>
          <w:spacing w:val="-2"/>
        </w:rPr>
        <w:t>Giải pháp 1 không điều chỉnh trực tiếp các chính sách về dịch vụ y tế, bảo hiểm y tế, tổ chức hệ thống khám bệnh, chữa bệnh hay quản lý vệ sinh an toàn thực phẩm; do đó không tạo ra tác động trực tiếp đến chất lượng dịch vụ y tế hoặc khả năng tiếp cận chăm sóc sức khỏe của người dân. Tác động liên quan chủ yếu mang tính gián tiếp, xuất phát từ mối liên hệ giữa phòng, chống phổ biến WMD với an toàn sinh học, an ninh sinh học và kiểm soát các tác nhân, vật tư, trang thiết bị nhạy cảm trong môi trường y tế và nghiên cứu.</w:t>
      </w:r>
    </w:p>
    <w:p w14:paraId="09549DCE" w14:textId="77777777" w:rsidR="00F33B58" w:rsidRPr="00086837" w:rsidRDefault="00F33B58" w:rsidP="00F33B58">
      <w:pPr>
        <w:spacing w:before="80" w:line="276" w:lineRule="auto"/>
        <w:ind w:firstLine="720"/>
        <w:jc w:val="both"/>
        <w:rPr>
          <w:bCs/>
          <w:spacing w:val="-2"/>
        </w:rPr>
      </w:pPr>
      <w:r w:rsidRPr="00086837">
        <w:rPr>
          <w:bCs/>
          <w:spacing w:val="-2"/>
        </w:rPr>
        <w:t>Việc chuẩn hóa quy trình phối hợp, tăng cường minh bạch, chia sẻ thông tin và làm rõ trách nhiệm giải trình hỗ trợ nâng cao hiệu quả công tác phòng ngừa, phát hiện và ứng phó sự cố sinh học. Theo Bộ Y tế, cả nước hiện có hơn 1.500 phòng xét nghiệm các cấp, trong đó có nhiều cơ sở tham gia mạng lưới giám sát dịch bệnh</w:t>
      </w:r>
      <w:r w:rsidRPr="00086837">
        <w:rPr>
          <w:rStyle w:val="FootnoteReference"/>
          <w:bCs/>
          <w:spacing w:val="-2"/>
        </w:rPr>
        <w:footnoteReference w:id="32"/>
      </w:r>
      <w:r w:rsidRPr="00086837">
        <w:rPr>
          <w:bCs/>
          <w:spacing w:val="-2"/>
        </w:rPr>
        <w:t>. Việc bảo đảm quy trình phối hợp thống nhất giữa các cơ sở này với lực lượng quản lý chuyên ngành giúp giảm rủi ro phát hiện chậm hoặc xử lý không đồng đều trong các tình huống liên quan tác nhân sinh học, hóa chất hoặc trang thiết bị nhạy cảm.</w:t>
      </w:r>
    </w:p>
    <w:p w14:paraId="0E36B085" w14:textId="77777777" w:rsidR="00F33B58" w:rsidRPr="00086837" w:rsidRDefault="00F33B58" w:rsidP="00F33B58">
      <w:pPr>
        <w:spacing w:before="80" w:line="276" w:lineRule="auto"/>
        <w:ind w:firstLine="720"/>
        <w:jc w:val="both"/>
        <w:rPr>
          <w:bCs/>
          <w:spacing w:val="-2"/>
        </w:rPr>
      </w:pPr>
      <w:r w:rsidRPr="00086837">
        <w:rPr>
          <w:bCs/>
          <w:spacing w:val="-2"/>
        </w:rPr>
        <w:t>Cơ chế công khai, minh bạch và thống nhất trong xử lý nhầm lẫn giảm nguy cơ gián đoạn hoạt động hợp pháp của các cơ sở xét nghiệm, cơ sở nghiên cứu y sinh và đơn vị nhập khẩu - cung ứng trang thiết bị y tế. Theo thống kê của Bộ Y tế, ngành y tế sử dụng hơn 110.000 thiết bị y tế loại C và D (thuộc nhóm rủi ro trung bình - cao), trong đó nhiều loại liên quan chuỗi cung ứng quốc tế</w:t>
      </w:r>
      <w:r w:rsidRPr="00086837">
        <w:rPr>
          <w:rStyle w:val="FootnoteReference"/>
          <w:bCs/>
          <w:spacing w:val="-2"/>
        </w:rPr>
        <w:footnoteReference w:id="33"/>
      </w:r>
      <w:r w:rsidRPr="00086837">
        <w:rPr>
          <w:bCs/>
          <w:spacing w:val="-2"/>
        </w:rPr>
        <w:t>. Minh bạch thủ tục giúp hạn chế chậm trễ không cần thiết trong quá trình kiểm tra hồ sơ nhập khẩu, vận chuyển hoặc tiếp nhận viện trợ, đảm bảo tính liên tục của các hoạt động chuyên môn như xét nghiệm, nghiên cứu, điều trị và giám sát dịch bệnh.</w:t>
      </w:r>
    </w:p>
    <w:p w14:paraId="631E9922" w14:textId="77777777" w:rsidR="00F33B58" w:rsidRPr="00086837" w:rsidRDefault="00F33B58" w:rsidP="00F33B58">
      <w:pPr>
        <w:spacing w:before="80" w:line="276" w:lineRule="auto"/>
        <w:ind w:firstLine="720"/>
        <w:jc w:val="both"/>
        <w:rPr>
          <w:bCs/>
          <w:spacing w:val="-2"/>
        </w:rPr>
      </w:pPr>
      <w:r w:rsidRPr="00086837">
        <w:rPr>
          <w:bCs/>
          <w:spacing w:val="-2"/>
        </w:rPr>
        <w:t>Ở chiều ngược lại, một số cơ sở y tế và đơn vị nghiên cứu có hoạt động liên quan đến tác nhân sinh học, độc tố, hóa chất và thiết bị nhạy cảm tăng yêu cầu tuân thủ hành chính, bao gồm lưu trữ hồ sơ, báo cáo, xác minh và phối hợp kiểm tra theo quy trình chuẩn. Theo Bộ Y tế, năm 2024 hệ thống y tế công lập có khoảng 532.000 viên chức y tế</w:t>
      </w:r>
      <w:r w:rsidRPr="00086837">
        <w:rPr>
          <w:rStyle w:val="FootnoteReference"/>
          <w:bCs/>
          <w:spacing w:val="-2"/>
        </w:rPr>
        <w:footnoteReference w:id="34"/>
      </w:r>
      <w:r w:rsidRPr="00086837">
        <w:rPr>
          <w:bCs/>
          <w:spacing w:val="-2"/>
        </w:rPr>
        <w:t>, trong đó nhiều đơn vị gặp áp lực về nhân lực và khối lượng báo cáo chuyên môn. Việc bổ sung yêu cầu tuân thủ làm tăng chi phí hành chính và khối lượng công việc ở mức nhất định, song tác động này được bù đắp bởi lợi ích giảm rủi ro an ninh sinh học, giảm nguy cơ trách nhiệm pháp lý và giảm thiểu thiệt hại trong các tình huống sự cố.</w:t>
      </w:r>
    </w:p>
    <w:p w14:paraId="27E59DBF" w14:textId="77777777" w:rsidR="00F33B58" w:rsidRPr="00086837" w:rsidRDefault="00F33B58" w:rsidP="004035E0">
      <w:pPr>
        <w:spacing w:before="80" w:line="269" w:lineRule="auto"/>
        <w:ind w:firstLine="720"/>
        <w:jc w:val="both"/>
        <w:rPr>
          <w:bCs/>
          <w:spacing w:val="-2"/>
        </w:rPr>
      </w:pPr>
      <w:r w:rsidRPr="00086837">
        <w:rPr>
          <w:bCs/>
          <w:spacing w:val="-2"/>
        </w:rPr>
        <w:lastRenderedPageBreak/>
        <w:t>Bên cạnh tác động tích cực, Giải pháp 1 tồn tại một số hạn chế do phạm vi điều chỉnh chỉ ở cấp nghị định: (1) việc không có thẩm quyền đặt ra các tiêu chí kiểm soát rủi ro mang tính nền tảng tại cấp luật làm cho các quy định liên quan an toàn sinh học và an ninh sinh học chỉ dừng ở mức quy trình, chưa đủ ràng buộc để nâng cao hiệu lực quản lý. Điều này có nguy cơ duy trì tình trạng áp dụng không thống nhất giữa các cơ quan khi xử lý tình huống liên quan tác nhân, vật tư hoặc thiết bị nhạy cảm; (2) các cơ sở y tế và nghiên cứu có liên quan đến tác nhân sinh học, độc tố hoặc hóa chất nhạy cảm gia tăng gánh nặng hành chính, do phải thực hiện nhiều hơn các yêu cầu về lưu trữ hồ sơ, báo cáo, giải trình và phối hợp kiểm tra theo quy trình chuẩn. Theo thống kê của Bộ Y tế, năm 2024 hệ thống y tế công lập có khoảng 532.000 viên chức y tế, trong đó nhiều đơn vị đang chịu áp lực quá tải về báo cáo, dẫn đến nguy cơ tăng khối lượng công việc và giảm thời gian dành cho hoạt động chuyên môn; (3) do nghị định không đủ thẩm quyền quy định đầy đủ các biện pháp kiểm soát theo chuẩn mực quốc tế về phòng, chống tài trợ phổ biến WMD, hiệu quả hỗ trợ cho công tác an ninh sinh học và an ninh y tế dự phòng tăng không đáng kể. Điều này làm hạn chế khả năng tiếp nhận, chia sẻ dữ liệu rủi ro giữa ngành y tế và các bộ quản lý chuyên ngành trong tình huống khẩn cấp hoặc khi cần truy vết nguồn gốc tác nhân sinh học; (4) trong bối cảnh một số cơ sở y tế phụ thuộc vật tư và thiết bị nhập khẩu, việc duy trì quy trình xác minh ở cấp nghị định (thay vì thiết lập tiêu chí rủi ro rõ ràng ở cấp luật) có nguy cơ làm kéo dài thời gian xử lý thủ tục ở khâu thẩm tra hồ sơ, ảnh hưởng đến hoạt động xét nghiệm, nghiên cứu hoặc cung ứng trang thiết bị thuộc nhóm nhạy cảm.</w:t>
      </w:r>
    </w:p>
    <w:p w14:paraId="2EE16D8C" w14:textId="77777777" w:rsidR="00F33B58" w:rsidRPr="00086837" w:rsidRDefault="00F33B58" w:rsidP="004035E0">
      <w:pPr>
        <w:spacing w:before="80" w:line="269" w:lineRule="auto"/>
        <w:ind w:firstLine="720"/>
        <w:jc w:val="both"/>
        <w:rPr>
          <w:bCs/>
        </w:rPr>
      </w:pPr>
      <w:r w:rsidRPr="00086837">
        <w:rPr>
          <w:bCs/>
        </w:rPr>
        <w:t xml:space="preserve">- Đối với môi trường: </w:t>
      </w:r>
    </w:p>
    <w:p w14:paraId="19346070" w14:textId="77777777" w:rsidR="00F33B58" w:rsidRPr="00086837" w:rsidRDefault="00F33B58" w:rsidP="004035E0">
      <w:pPr>
        <w:spacing w:before="80" w:line="276" w:lineRule="auto"/>
        <w:ind w:firstLine="720"/>
        <w:jc w:val="both"/>
        <w:rPr>
          <w:bCs/>
        </w:rPr>
      </w:pPr>
      <w:r w:rsidRPr="00086837">
        <w:rPr>
          <w:bCs/>
        </w:rPr>
        <w:t>Giải pháp 1 không điều chỉnh trực tiếp các chính sách về bảo vệ môi trường, quản lý chất thải, đánh giá tác động môi trường hay tiêu chuẩn, quy chuẩn môi trường; do đó không tạo ra tác động trực tiếp đến chất lượng môi trường. Tuy nhiên, phòng, chống phổ biến WMD có liên quan đến kiểm soát một số vật liệu, hóa chất, tác nhân sinh học và thiết bị nhạy cảm; việc chuẩn hóa quy trình phối hợp, chia sẻ thông tin, trách nhiệm giải trình và thủ tục xử lý tạo tác động gián tiếp tích cực, nhất là trong phòng ngừa, phát hiện và xử lý kịp thời các sự cố thất thoát, rò rỉ, vận chuyển trái phép hoặc sử dụng sai mục đích các yếu tố nguy hiểm. Theo Bộ Tài nguyên và Môi trường, lượng chất thải rắn sinh hoạt của Việt Nam đạt 69.400 tấn/ngày, trong khi lượng chất thải nguy hại phát sinh năm 2023 ước đạt 1,26 triệu tấn; hệ sinh thái sản xuất, kinh doanh sử dụng nhiều hóa chất công nghiệp với tổng nhu cầu hóa chất cơ bản hơn 12 triệu tấn/năm (MONRE, 2023-2024)</w:t>
      </w:r>
      <w:r w:rsidRPr="00086837">
        <w:rPr>
          <w:rStyle w:val="FootnoteReference"/>
          <w:bCs/>
        </w:rPr>
        <w:footnoteReference w:id="35"/>
      </w:r>
      <w:r w:rsidRPr="00086837">
        <w:rPr>
          <w:bCs/>
        </w:rPr>
        <w:t xml:space="preserve">. Trong bối cảnh đó, việc tăng minh bạch và </w:t>
      </w:r>
      <w:r w:rsidRPr="00086837">
        <w:rPr>
          <w:bCs/>
        </w:rPr>
        <w:lastRenderedPageBreak/>
        <w:t>nhất quán trong xử lý hồ sơ, chia sẻ thông tin và xác minh nguồn gốc giúp giảm nguy cơ tác nhân độc hại bị thất thoát, rò rỉ hoặc vận chuyển trái phép, qua đó hỗ trợ giảm rủi ro gây ô nhiễm đất, nước và không khí.</w:t>
      </w:r>
    </w:p>
    <w:p w14:paraId="09647498" w14:textId="77777777" w:rsidR="00F33B58" w:rsidRPr="00086837" w:rsidRDefault="00F33B58" w:rsidP="004035E0">
      <w:pPr>
        <w:spacing w:before="80" w:line="276" w:lineRule="auto"/>
        <w:ind w:firstLine="720"/>
        <w:jc w:val="both"/>
        <w:rPr>
          <w:bCs/>
        </w:rPr>
      </w:pPr>
      <w:r w:rsidRPr="00086837">
        <w:rPr>
          <w:bCs/>
        </w:rPr>
        <w:t>Việc tăng cường yêu cầu về hồ sơ, lưu trữ, báo cáo và phối hợp kiểm tra đối với các cơ sở thuộc nhóm rủi ro cao (hóa chất, sinh học, vật liệu phóng xạ…) làm tăng chi phí tuân thủ hành chính ở mức nhất định. Theo thống kê của Bộ Khoa học và Công nghệ, cả nước có khoảng 5.800 nguồn phóng xạ đang kiểm soát, cùng hơn 500 cơ sở sử dụng thiết bị bức xạ (MOST, 2023)</w:t>
      </w:r>
      <w:r w:rsidRPr="00086837">
        <w:rPr>
          <w:rStyle w:val="FootnoteReference"/>
          <w:bCs/>
        </w:rPr>
        <w:footnoteReference w:id="36"/>
      </w:r>
      <w:r w:rsidRPr="00086837">
        <w:rPr>
          <w:bCs/>
        </w:rPr>
        <w:t>; nhiều cơ sở trong số này có quy mô nhân sự hạn chế, nên gia tăng thủ tục hành chính tạo áp lực nhất định cho đơn vị vận hành. Tuy vậy, chi phí phát sinh này được bù đắp bởi lợi ích giảm rủi ro sự cố, giảm thiệt hại môi trường và giảm chi phí khắc phục. Theo World Bank, chi phí xử lý môi trường đối với sự cố hóa chất hoặc rò rỉ độc tố có thể chiếm 10-30% giá trị thiệt hại trực tiếp của vụ việc và kéo dài nhiều năm</w:t>
      </w:r>
      <w:r w:rsidRPr="00086837">
        <w:rPr>
          <w:rStyle w:val="FootnoteReference"/>
          <w:bCs/>
        </w:rPr>
        <w:footnoteReference w:id="37"/>
      </w:r>
      <w:r w:rsidRPr="00086837">
        <w:rPr>
          <w:bCs/>
        </w:rPr>
        <w:t>; do đó, việc nâng chất lượng quản trị rủi ro (thông qua chuẩn hóa thủ tục và trách nhiệm giải trình ở cấp nghị định) giúp giảm thiệt hại kinh tế - môi trường trong ngắn hạn.</w:t>
      </w:r>
    </w:p>
    <w:p w14:paraId="6DD99EC4" w14:textId="77777777" w:rsidR="00F33B58" w:rsidRPr="00086837" w:rsidRDefault="00F33B58" w:rsidP="004035E0">
      <w:pPr>
        <w:spacing w:before="80" w:line="276" w:lineRule="auto"/>
        <w:ind w:firstLine="720"/>
        <w:jc w:val="both"/>
        <w:rPr>
          <w:bCs/>
        </w:rPr>
      </w:pPr>
      <w:r w:rsidRPr="00086837">
        <w:rPr>
          <w:bCs/>
        </w:rPr>
        <w:t xml:space="preserve">Tuy nhiên, Giải pháp 1 bộc lộ một số hạn chế do phạm vi điều chỉnh chỉ ở cấp nghị định; trước hết, nghị định không có thẩm quyền thiết lập các tiêu chí kiểm soát rủi ro môi trường mang tính nền tảng, nên tác động cải thiện quản lý môi trường chỉ dừng lại ở mức quy trình và chưa khắc phục được khoảng trống pháp lý trong kiểm soát toàn bộ vòng đời của hóa chất, tác nhân sinh học và thiết bị nhạy cảm. Đồng thời, việc bổ sung yêu cầu lưu trữ hồ sơ, báo cáo và phối hợp kiểm tra làm tăng chi phí tuân thủ đối với các cơ sở thuộc nhóm rủi ro cao như hóa chất, sinh học và bức xạ; theo Bộ Khoa học và Công nghệ, cả nước có khoảng 5.800 nguồn phóng xạ và hơn 500 cơ sở sử dụng thiết bị bức xạ, trong đó nhiều đơn vị có quy mô nhân sự hạn chế nên dễ gặp áp lực thủ tục. Bên cạnh đó, do sửa đổi ở cấp nghị định không đủ để thiết lập đầy đủ cơ chế phối hợp liên ngành giữa các bộ trong xử lý sự cố môi trường - sinh học, nguy cơ phân tán trách nhiệm và chậm ứng phó vẫn còn hiện hữu; theo World Bank, chi phí khắc phục sự cố hóa chất hoặc rò rỉ độc tố thường chiếm 10-30% tổng thiệt hại trực tiếp và kéo dài nhiều năm. Hạn chế khác là do thiếu công cụ hỗ trợ kỹ thuật và chuẩn mực quản lý gắn với tiêu chí rủi ro, doanh nghiệp, nhất là doanh nghiệp vừa và nhỏ khó cải thiện hệ thống quản lý an toàn hóa chất; đồng thời việc chưa có cơ chế tích hợp dữ liệu môi trường - sinh học giữa các ngành duy </w:t>
      </w:r>
      <w:r w:rsidRPr="00086837">
        <w:rPr>
          <w:bCs/>
        </w:rPr>
        <w:lastRenderedPageBreak/>
        <w:t>trì nguy cơ “đứt đoạn” thông tin, giảm hiệu quả cảnh báo sớm và giám sát rủi ro trong quản lý môi trường.</w:t>
      </w:r>
    </w:p>
    <w:p w14:paraId="50ACC435" w14:textId="77777777" w:rsidR="00F33B58" w:rsidRPr="00086837" w:rsidRDefault="00F33B58" w:rsidP="004035E0">
      <w:pPr>
        <w:spacing w:before="80" w:line="269" w:lineRule="auto"/>
        <w:ind w:firstLine="720"/>
        <w:jc w:val="both"/>
        <w:rPr>
          <w:bCs/>
        </w:rPr>
      </w:pPr>
      <w:r w:rsidRPr="00086837">
        <w:rPr>
          <w:bCs/>
        </w:rPr>
        <w:t xml:space="preserve">- Đối với quốc phòng, an ninh: </w:t>
      </w:r>
    </w:p>
    <w:p w14:paraId="0EEFFA9A" w14:textId="77777777" w:rsidR="00F33B58" w:rsidRPr="00086837" w:rsidRDefault="00F33B58" w:rsidP="004035E0">
      <w:pPr>
        <w:spacing w:before="80" w:line="269" w:lineRule="auto"/>
        <w:ind w:firstLine="720"/>
        <w:jc w:val="both"/>
        <w:rPr>
          <w:bCs/>
          <w:spacing w:val="-2"/>
        </w:rPr>
      </w:pPr>
      <w:r w:rsidRPr="00086837">
        <w:rPr>
          <w:bCs/>
          <w:spacing w:val="-2"/>
        </w:rPr>
        <w:t>Giải pháp 1 có tác động tích cực ở mức độ nhất định đối với quốc phòng, an ninh do góp phần hoàn thiện cơ chế tổ chức thi hành trong phòng, chống phổ biến và tài trợ phổ biến WMD, đặc biệt trong các nội dung như chuẩn hóa đầu mối, quy trình phối hợp liên ngành, chế độ trao đổi thông tin và trách nhiệm giải trình. Việc làm rõ quy trình xử lý tình huống tại khu vực trọng yếu (cửa khẩu, biên giới, trên biển, khu vực chiến lược) hỗ trợ nâng cao năng lực phòng ngừa, phát hiện và ngăn chặn hành vi vi phạm liên quan tác nhân sinh học, hóa chất độc hại, vật liệu phóng xạ và phương tiện phát tán. Việt Nam có 4.550 km đường biên giới đất liền, 3.260 km bờ biển, hơn 120 cửa khẩu và hệ thống cảng biển với 35 cảng chính; mỗi năm lực lượng chức năng xử lý hàng triệu lượt phương tiện và người qua lại biên giới, trong đó tiềm ẩn các nguy cơ về vận chuyển trái phép vật liệu nhạy cảm. Các biện pháp chuẩn hóa quy trình, xác lập rõ trách nhiệm và cơ chế phối hợp góp phần củng cố tiềm lực quốc phòng - an ninh và bảo vệ chủ quyền, nhất là trong bối cảnh gia tăng nguy cơ an ninh phi truyền thống.</w:t>
      </w:r>
    </w:p>
    <w:p w14:paraId="276D9527" w14:textId="77777777" w:rsidR="00F33B58" w:rsidRPr="00086837" w:rsidRDefault="00F33B58" w:rsidP="004035E0">
      <w:pPr>
        <w:spacing w:before="80" w:line="269" w:lineRule="auto"/>
        <w:jc w:val="both"/>
        <w:rPr>
          <w:bCs/>
        </w:rPr>
      </w:pPr>
      <w:r w:rsidRPr="00086837">
        <w:rPr>
          <w:bCs/>
          <w:spacing w:val="-2"/>
        </w:rPr>
        <w:tab/>
      </w:r>
      <w:r w:rsidRPr="00086837">
        <w:rPr>
          <w:bCs/>
        </w:rPr>
        <w:t>Tuy nhiên, Giải pháp 1 bộc lộ một số hạn chế xuất phát từ việc sửa đổi ở cấp nghị định. Trước hết, nghị định không đủ thẩm quyền thiết lập các chuẩn kiểm soát rủi ro liên ngành, chế định cưỡng chế hoặc điều kiện áp dụng biện pháp mạnh theo yêu cầu Hiến pháp và các luật chuyên ngành; do đó mức độ ràng buộc và khả năng xử lý các vùng giao thoa giữa các lĩnh vực an ninh, hải quan, khoa học, y tế còn hạn chế. Bên cạnh đó, nhiều công cụ then chốt gắn với bảo đảm quốc phòng, an ninh (chuẩn cấm, cơ chế phong tỏa tài sản “không chậm trễ”, chế tài đủ sức răn đe, thẩm quyền kiểm soát rủi ro tại biên giới) có tính nền tảng và cần được luật hóa, trong khi sửa đổi nghị định chỉ cải thiện ở khâu quy trình. Ngoài ra, việc thiếu chuẩn dữ liệu dùng chung làm tăng nguy cơ chia sẻ thông tin không đồng đều hoặc sai lệch, gây rủi ro đối với an ninh mạng và bảo vệ bí mật nhà nước; theo Bộ Công an, năm 2023 ghi nhận hơn 13.900 sự cố an ninh mạng, trong đó nhiều sự cố xuất phát từ lỗ hổng chia sẻ dữ liệu</w:t>
      </w:r>
      <w:r w:rsidRPr="00086837">
        <w:rPr>
          <w:rStyle w:val="FootnoteReference"/>
          <w:bCs/>
        </w:rPr>
        <w:footnoteReference w:id="38"/>
      </w:r>
      <w:r w:rsidRPr="00086837">
        <w:rPr>
          <w:bCs/>
        </w:rPr>
        <w:t>. Mặt khác, hiệu quả thực thi phụ thuộc lớn vào nguồn lực, năng lực kỹ thuật và khả năng phối hợp giữa các lực lượng; trong khi nghị định không có cơ chế bảo đảm nguồn lực ổn định, dẫn đến khó hình thành năng lực kiểm soát rủi ro phổ biến WMD đạt chuẩn quốc tế.</w:t>
      </w:r>
    </w:p>
    <w:p w14:paraId="31FFBD47" w14:textId="77777777" w:rsidR="00F33B58" w:rsidRPr="00086837" w:rsidRDefault="00F33B58" w:rsidP="004035E0">
      <w:pPr>
        <w:spacing w:before="80" w:line="269" w:lineRule="auto"/>
        <w:ind w:firstLine="720"/>
        <w:jc w:val="both"/>
        <w:rPr>
          <w:bCs/>
        </w:rPr>
      </w:pPr>
      <w:r w:rsidRPr="00086837">
        <w:rPr>
          <w:bCs/>
        </w:rPr>
        <w:t xml:space="preserve">- Đối với phân cấp, phân quyền: </w:t>
      </w:r>
    </w:p>
    <w:p w14:paraId="3B0D2AE7" w14:textId="77777777" w:rsidR="00F33B58" w:rsidRPr="00086837" w:rsidRDefault="00F33B58" w:rsidP="00F33B58">
      <w:pPr>
        <w:spacing w:before="80" w:line="269" w:lineRule="auto"/>
        <w:ind w:firstLine="720"/>
        <w:jc w:val="both"/>
        <w:rPr>
          <w:bCs/>
        </w:rPr>
      </w:pPr>
      <w:r w:rsidRPr="00086837">
        <w:rPr>
          <w:bCs/>
        </w:rPr>
        <w:t xml:space="preserve">Giải pháp 1 tác động theo hướng tăng tính chủ động, linh hoạt và tự chịu trách nhiệm của cơ quan, tổ chức trong thực hiện nhiệm vụ phòng, chống phổ </w:t>
      </w:r>
      <w:r w:rsidRPr="00086837">
        <w:rPr>
          <w:bCs/>
        </w:rPr>
        <w:lastRenderedPageBreak/>
        <w:t>biến và tài trợ phổ biến WMD thông qua việc chuẩn hóa quy trình, đầu mối và chế độ trao đổi thông tin. Trong điều kiện hệ thống hành chính đa tầng với 34 tỉnh, thành phố được tổ chức lại theo Nghị quyết 202/2025/QH15, cùng các tuyến địa bàn trọng điểm như biên giới đất liền dài 4.550 km, bờ biển dài 3.260 km và hơn 120 cửa khẩu, việc làm rõ quy trình phối hợp, trách nhiệm giải trình và chế độ báo cáo góp phần nâng cao hiệu lực quản lý, giảm nguy cơ bỏ sót thông tin rủi ro và nâng chất lượng giám sát tại cơ sở. Cơ chế phân công, phân nhiệm rõ hơn cũng giúp giảm tình trạng yêu cầu cung cấp thông tin trùng lặp và tăng tính dự liệu khi xử lý tình huống liên quan tác nhân, hàng hóa và thiết bị nhạy cảm.</w:t>
      </w:r>
    </w:p>
    <w:p w14:paraId="0333BF28" w14:textId="77777777" w:rsidR="00F33B58" w:rsidRPr="00086837" w:rsidRDefault="00F33B58" w:rsidP="00F33B58">
      <w:pPr>
        <w:spacing w:before="80" w:line="269" w:lineRule="auto"/>
        <w:ind w:firstLine="720"/>
        <w:jc w:val="both"/>
        <w:rPr>
          <w:bCs/>
        </w:rPr>
      </w:pPr>
      <w:r w:rsidRPr="00086837">
        <w:rPr>
          <w:bCs/>
        </w:rPr>
        <w:t>Ở chiều hạn chế, do Giải pháp 1 chỉ sửa đổi nghị định, vốn là văn bản dưới luật, khả năng thiết lập khung phân cấp, phân quyền mang tính bắt buộc và ổn định còn giới hạn. Các nhiệm vụ liên ngành giữa Bộ Công Thương, Bộ Quốc phòng, Bộ Công an, Bộ Tài chính (Hải quan), Bộ KH&amp;CN và Bộ Ngoại giao dễ phát sinh chồng chéo, trùng lặp hoặc bỏ sót nếu việc phân định trách nhiệm không được thiết kế đủ chi tiết. Bên cạnh đó, quy trình phối hợp liên ngành trong lĩnh vực này phụ thuộc lớn vào nguồn lực nhân sự đầu mối, năng lực chuyên môn và hạ tầng chia sẻ dữ liệu của địa phương; theo Bộ Nội vụ, năm 2024 nhiều tỉnh thiếu ổn định nhân sự chuyên trách ở các lĩnh vực kỹ thuật, an ninh phi truyền thống, dẫn đến rủi ro thực thi không đồng đều</w:t>
      </w:r>
      <w:r w:rsidRPr="00086837">
        <w:rPr>
          <w:rStyle w:val="FootnoteReference"/>
          <w:bCs/>
        </w:rPr>
        <w:footnoteReference w:id="39"/>
      </w:r>
      <w:r w:rsidRPr="00086837">
        <w:rPr>
          <w:bCs/>
        </w:rPr>
        <w:t>. Mặt khác, do nguyên tắc pháp lý “văn bản có hiệu lực pháp lý cao hơn được ưu tiên áp dụng”, nghị định sửa đổi không thể xử lý triệt để các xung đột với luật chuyên ngành (như Luật Hải quan, Luật An ninh quốc gia, Luật Quốc phòng, Luật Hóa chất), khiến việc phân cấp, phân quyền trong một số tình huống vẫn bị hạn chế.</w:t>
      </w:r>
    </w:p>
    <w:p w14:paraId="73390FD6" w14:textId="26FF22A2" w:rsidR="00F33B58" w:rsidRPr="00086837" w:rsidRDefault="00F33B58" w:rsidP="00F33B58">
      <w:pPr>
        <w:spacing w:before="80" w:line="269" w:lineRule="auto"/>
        <w:ind w:firstLine="720"/>
        <w:jc w:val="both"/>
        <w:rPr>
          <w:bCs/>
        </w:rPr>
      </w:pPr>
      <w:r w:rsidRPr="00086837">
        <w:rPr>
          <w:bCs/>
        </w:rPr>
        <w:t xml:space="preserve">Ví dụ: Tại một cửa khẩu thuộc tỉnh biên giới, doanh nghiệp thực hiện thủ tục quá cảnh lô hàng hóa lưỡng dụng </w:t>
      </w:r>
      <w:r w:rsidRPr="00086837">
        <w:rPr>
          <w:bCs/>
          <w:spacing w:val="-10"/>
        </w:rPr>
        <w:t>và phát hiện dấu hiệu rủi ro về người sử dụng cuối. Theo Nghị định 259/2025/NĐ-CP,</w:t>
      </w:r>
      <w:r w:rsidRPr="00086837">
        <w:rPr>
          <w:bCs/>
        </w:rPr>
        <w:t xml:space="preserve"> thương nhân có trách nhiệm thông báo cho Bộ Công Thương và Bộ Quốc phòng khi phát hiện hoặc nghi ngờ hàng hóa, người nhận hoặc người sử dụng cuối thuộc nhóm rủi ro phổ biến WMD. Trong khi đó, Nghị định 81/2019/NĐ-CP giao trách nhiệm cho lực lượng kiểm soát tại biên giới kiểm soát chặt chẽ tổ chức, cá nhân và phương tiện xuất nhập khẩu, quá cảnh để kịp thời phát hiện và ngăn chặn hành vi lợi dụng nhằm phổ biến WMD. Nếu không có quy trình phối hợp chuẩn hóa (ai tiếp nhận thông tin nghi ngờ, cơ quan nào chủ trì xác minh, thời hạn phản hồi, kênh chia sẻ dữ liệu…), thực tiễn có thể phát sinh: (1) chồng chéo, nhiều lực lượng cùng yêu cầu doanh nghiệp cung cấp lại hồ sơ; (2) bỏ sót trách nhiệm, không rõ đơn vị nào tổng hợp, tham mưu xử lý; hoặc (3) kéo dài </w:t>
      </w:r>
      <w:r w:rsidRPr="00086837">
        <w:rPr>
          <w:bCs/>
          <w:spacing w:val="-4"/>
        </w:rPr>
        <w:t xml:space="preserve">thời gian thông quan, ảnh hưởng hoạt động </w:t>
      </w:r>
      <w:r w:rsidRPr="00086837">
        <w:rPr>
          <w:bCs/>
          <w:spacing w:val="-4"/>
        </w:rPr>
        <w:lastRenderedPageBreak/>
        <w:t>thương mại tại cửa khẩu. Việc sửa đổi Nghị định 81/2019/NĐ-CP theo Giải pháp 1 hỗ trợ cải thiện ở các khâu đầu mối, quy trình, thời hạn và trách nhiệm giải trình, nhưng không thể khắc phục hoàn toàn khác biệt với luật chuyên ngành do giới hạn thẩm quyền của nghị định.</w:t>
      </w:r>
    </w:p>
    <w:p w14:paraId="6F216852" w14:textId="77777777" w:rsidR="00F33B58" w:rsidRPr="00086837" w:rsidRDefault="00F33B58" w:rsidP="00F33B58">
      <w:pPr>
        <w:spacing w:before="80" w:line="276" w:lineRule="auto"/>
        <w:ind w:firstLine="720"/>
        <w:jc w:val="both"/>
        <w:rPr>
          <w:bCs/>
        </w:rPr>
      </w:pPr>
      <w:r w:rsidRPr="00086837">
        <w:rPr>
          <w:bCs/>
        </w:rPr>
        <w:t xml:space="preserve">- Đối với khoa học, công nghệ, đổi mới sáng tạo và chuyển đổi số: </w:t>
      </w:r>
    </w:p>
    <w:p w14:paraId="6FAC11FD" w14:textId="77777777" w:rsidR="00F33B58" w:rsidRPr="00086837" w:rsidRDefault="00F33B58" w:rsidP="00F33B58">
      <w:pPr>
        <w:spacing w:before="80" w:line="276" w:lineRule="auto"/>
        <w:ind w:firstLine="720"/>
        <w:jc w:val="both"/>
        <w:rPr>
          <w:bCs/>
          <w:spacing w:val="-4"/>
        </w:rPr>
      </w:pPr>
      <w:r w:rsidRPr="00086837">
        <w:rPr>
          <w:bCs/>
          <w:spacing w:val="-4"/>
        </w:rPr>
        <w:t>Giải pháp 1 tạo tác động ở mức độ tổ chức thực hiện theo hướng tăng cường số hóa, chuẩn hóa quy trình và nâng cao hiệu quả phối hợp liên ngành, dựa trên nền tảng mà Nghị định số 81/2019/NĐ-CP đã thiết lập, như trang thông tin điện tử, đường dây nóng và cơ chế trao đổi thông tin định kỳ. Việc sửa đổi nghị định theo hướng chuẩn hóa đầu mối, luồng phối hợp và trách nhiệm giải trình hỗ trợ cải thiện chất lượng dữ liệu, giảm xử lý thủ công và tăng khả năng truy xuất thông tin trong quá trình kiểm soát rủi ro phổ biến và tài trợ phổ biến WMD. Trong bối cảnh Việt Nam đang thúc đẩy chuyển đổi số mạnh mẽ, với 18,3% GDP đến từ kinh tế số năm 2024 và khoảng 25 tỷ USD doanh thu thương mại điện tử</w:t>
      </w:r>
      <w:r w:rsidRPr="00086837">
        <w:rPr>
          <w:rStyle w:val="FootnoteReference"/>
          <w:bCs/>
          <w:spacing w:val="-4"/>
        </w:rPr>
        <w:footnoteReference w:id="40"/>
      </w:r>
      <w:r w:rsidRPr="00086837">
        <w:rPr>
          <w:bCs/>
          <w:spacing w:val="-4"/>
        </w:rPr>
        <w:t>, cùng hơn 13,9 triệu hồ sơ trực tuyến được xử lý qua Cổng Dịch vụ công Quốc gia trong 6 tháng đầu năm 2024</w:t>
      </w:r>
      <w:r w:rsidRPr="00086837">
        <w:rPr>
          <w:rStyle w:val="FootnoteReference"/>
          <w:bCs/>
          <w:spacing w:val="-4"/>
        </w:rPr>
        <w:footnoteReference w:id="41"/>
      </w:r>
      <w:r w:rsidRPr="00086837">
        <w:rPr>
          <w:bCs/>
          <w:spacing w:val="-4"/>
        </w:rPr>
        <w:t>, việc hoàn thiện quy trình điện tử trong lĩnh vực kiểm soát WMD giúp tăng tốc độ xử lý, giảm chi phí và giảm sai sót.</w:t>
      </w:r>
    </w:p>
    <w:p w14:paraId="373B0F05" w14:textId="77777777" w:rsidR="00F33B58" w:rsidRPr="00086837" w:rsidRDefault="00F33B58" w:rsidP="00F33B58">
      <w:pPr>
        <w:spacing w:before="80" w:line="276" w:lineRule="auto"/>
        <w:ind w:firstLine="720"/>
        <w:jc w:val="both"/>
        <w:rPr>
          <w:bCs/>
        </w:rPr>
      </w:pPr>
      <w:r w:rsidRPr="00086837">
        <w:rPr>
          <w:bCs/>
        </w:rPr>
        <w:t>Nghị định số 81/2019/NĐ-CP cũng thể hiện định hướng hỗ trợ nghiên cứu, ứng dụng khoa học, công nghệ và đầu tư trang thiết bị chuyên ngành, tạo cơ sở lồng ghép nhiệm vụ phòng, chống phổ biến WMD với hoạt động đổi mới công nghệ và nâng cao năng lực kỹ thuật. Việt Nam hiện có hơn 600 phòng thí nghiệm trọng điểm và đạt chuẩn an toàn sinh học (BSL-2, BSL-3)</w:t>
      </w:r>
      <w:r w:rsidRPr="00086837">
        <w:rPr>
          <w:rStyle w:val="FootnoteReference"/>
          <w:bCs/>
        </w:rPr>
        <w:footnoteReference w:id="42"/>
      </w:r>
      <w:r w:rsidRPr="00086837">
        <w:rPr>
          <w:bCs/>
        </w:rPr>
        <w:t>, là lực lượng nghiên cứu, ứng dụng quan trọng trong giám sát, phòng chống rủi ro sinh học và hỗ trợ kiểm định, phân tích phục vụ nhiệm vụ an ninh phi truyền thống. Việc chuẩn hóa quy trình nghiệp vụ, báo cáo và trao đổi thông tin theo nghị định giúp nâng cao khả năng khai thác dữ liệu, kết nối hoạt động chuyên môn và hỗ trợ ứng dụng công nghệ trong cảnh báo, truy vết.</w:t>
      </w:r>
    </w:p>
    <w:p w14:paraId="6FBC133F" w14:textId="77777777" w:rsidR="00F33B58" w:rsidRPr="00086837" w:rsidRDefault="00F33B58" w:rsidP="00F33B58">
      <w:pPr>
        <w:spacing w:before="80" w:line="276" w:lineRule="auto"/>
        <w:ind w:firstLine="720"/>
        <w:jc w:val="both"/>
      </w:pPr>
      <w:r w:rsidRPr="00086837">
        <w:t xml:space="preserve">Tuy nhiên, Giải pháp 1 tồn tại hạn chế do phạm vi sửa đổi chỉ ở cấp nghị định: (1) nghị định không đủ thẩm quyền để thiết lập hệ thống dữ liệu dùng chung mang tính bắt buộc, bao gồm chuẩn dữ liệu, phân quyền truy cập, cơ chế kết nối liên thông và kinh phí đầu tư hệ thống; các yếu tố này thuộc phạm vi cần được luật hóa; (2) do lĩnh vực phòng, chống phổ biến WMD chứa đựng thông tin nhạy cảm, việc chia sẻ, truyền tải hoặc tích hợp dữ liệu phải tuân thủ chặt chẽ quy định bảo vệ bí mật nhà nước, dẫn đến giới hạn đáng kể trong mức độ mở và mức độ chia sẻ dữ liệu liên ngành. Theo Bộ Công an, năm 2023 ghi nhận hơn </w:t>
      </w:r>
      <w:r w:rsidRPr="00086837">
        <w:lastRenderedPageBreak/>
        <w:t>13.900 sự cố an ninh mạng, trong đó một phần xuất phát từ rò rỉ thông tin do chia sẻ nội bộ không an toàn; điều này cho thấy rủi ro khi số hóa nhưng thiếu nền tảng pháp lý và kỹ thuật đồng bộ; (3) nghị định khó xử lý triệt để các vướng mắc phát sinh giữa các luật chuyên ngành (Luật An ninh mạng, Luật Bảo vệ bí mật nhà nước, Luật KH&amp;CN, Luật Hóa chất, Luật Hải quan), do nguyên tắc áp dụng văn bản có hiệu lực pháp lý cao hơn trong trường hợp có quy định khác nhau; vì vậy, khả năng đồng bộ hóa tiêu chí rủi ro, quy trình kiểm soát và cơ chế chia sẻ thông tin vẫn bị hạn chế.</w:t>
      </w:r>
    </w:p>
    <w:p w14:paraId="1D3B4F53" w14:textId="77777777" w:rsidR="00F33B58" w:rsidRPr="00086837" w:rsidRDefault="00F33B58" w:rsidP="00F33B58">
      <w:pPr>
        <w:spacing w:before="80" w:line="276" w:lineRule="auto"/>
        <w:ind w:firstLine="720"/>
        <w:jc w:val="both"/>
        <w:rPr>
          <w:bCs/>
        </w:rPr>
      </w:pPr>
      <w:r w:rsidRPr="00086837">
        <w:rPr>
          <w:bCs/>
        </w:rPr>
        <w:t xml:space="preserve">- Đối với các nội dung khác của kinh tế - xã hội: </w:t>
      </w:r>
    </w:p>
    <w:p w14:paraId="075EEB50" w14:textId="77777777" w:rsidR="00F33B58" w:rsidRPr="00086837" w:rsidRDefault="00F33B58" w:rsidP="00F33B58">
      <w:pPr>
        <w:spacing w:before="80" w:line="276" w:lineRule="auto"/>
        <w:ind w:firstLine="720"/>
        <w:jc w:val="both"/>
        <w:rPr>
          <w:bCs/>
        </w:rPr>
      </w:pPr>
      <w:r w:rsidRPr="00086837">
        <w:rPr>
          <w:bCs/>
        </w:rPr>
        <w:t>Ngoài các tác động đối với sản xuất, kinh doanh và việc làm, Giải pháp 1 dự kiến tạo chuyển biến theo hướng tăng tính minh bạch, tính ổn định và khả năng dự liệu trong quản lý nhà nước, qua đó hỗ trợ môi trường kinh tế - xã hội nói chung. Việc chuẩn hóa quy trình phối hợp, trách nhiệm giải trình và cơ chế xử lý nhầm lẫn, kiến nghị góp phần giảm chi phí giao dịch và hạn chế tranh chấp phát sinh. Theo Ngân hàng Thế giới, chi phí tuân thủ thủ tục thương mại biên giới của doanh nghiệp Việt Nam tương đương 2-4% giá trị lô hàng, phần lớn do thời gian chờ, bổ sung hồ sơ và xử lý thủ tục. Nâng cao tính minh bạch và chuẩn hóa quy trình giúp giảm gánh nặng chi phí không tạo giá trị và tăng niềm tin của tổ chức, cá nhân trong các hoạt động giao dịch hợp pháp.</w:t>
      </w:r>
    </w:p>
    <w:p w14:paraId="5F760C77" w14:textId="77777777" w:rsidR="00F33B58" w:rsidRPr="00086837" w:rsidRDefault="00F33B58" w:rsidP="00F33B58">
      <w:pPr>
        <w:spacing w:before="80" w:line="276" w:lineRule="auto"/>
        <w:ind w:firstLine="720"/>
        <w:jc w:val="both"/>
        <w:rPr>
          <w:bCs/>
        </w:rPr>
      </w:pPr>
      <w:r w:rsidRPr="00086837">
        <w:rPr>
          <w:bCs/>
        </w:rPr>
        <w:t>Cải thiện cơ chế phối hợp và chia sẻ thông tin còn hỗ trợ quản trị rủi ro liên ngành, đặc biệt đối với các nguy cơ an ninh phi truyền thống liên quan tác nhân hóa học, sinh học, phóng xạ và dòng vận chuyển xuyên biên giới. Theo Tổng cục Hải quan, mỗi năm ngành hải quan xử lý trên 14 triệu tờ khai xuất nhập khẩu và lượng hàng hóa qua cảng biển đạt hơn 733 triệu tấn (2023), cho thấy quy mô giao dịch lớn và đặt ra yêu cầu quản trị rủi ro ngày càng cao để tránh gián đoạn chuỗi cung ứng và giảm thiệt hại xã hội nếu xảy ra sự cố nghiêm trọng. Các cải thiện về quy trình và chia sẻ dữ liệu theo Giải pháp 1 có vai trò tích cực trong việc nâng khả năng phát hiện sớm và hạn chế hệ lụy kinh tế - xã hội của các sự cố liên quan vật tư, thiết bị và tác nhân nhạy cảm.</w:t>
      </w:r>
    </w:p>
    <w:p w14:paraId="4EC9181B" w14:textId="77777777" w:rsidR="00F33B58" w:rsidRPr="00086837" w:rsidRDefault="00F33B58" w:rsidP="00F33B58">
      <w:pPr>
        <w:spacing w:before="80" w:line="276" w:lineRule="auto"/>
        <w:ind w:firstLine="720"/>
        <w:jc w:val="both"/>
        <w:rPr>
          <w:bCs/>
        </w:rPr>
      </w:pPr>
      <w:r w:rsidRPr="00086837">
        <w:rPr>
          <w:bCs/>
        </w:rPr>
        <w:t xml:space="preserve">Tuy nhiên, tác động của Giải pháp 1 đối với kinh tế - xã hội chỉ dừng lại ở mức tổ chức thực hiện, chưa đủ để tạo thay đổi sâu rộng trong các vấn đề mang tính nền tảng như cơ chế cưỡng chế, chế tài đủ mạnh, hệ thống dữ liệu dùng chung, tiêu chí phân loại rủi ro, nguồn lực ổn định và mô hình điều phối liên ngành có tính ràng buộc cao. Do nghị định là văn bản dưới luật, khi có xung đột với các luật chuyên ngành (Hải quan, Đầu tư, An ninh quốc gia, Hóa chất, An toàn bức xạ…), hiệu lực điều chỉnh của nghị định sẽ bị giới hạn, khiến khả năng đồng bộ hóa quy trình và tạo tác động xã hội ở quy mô lớn bị thu hẹp. Bên cạnh </w:t>
      </w:r>
      <w:r w:rsidRPr="00086837">
        <w:rPr>
          <w:bCs/>
        </w:rPr>
        <w:lastRenderedPageBreak/>
        <w:t xml:space="preserve">đó, hiệu quả thực tế phụ thuộc đáng kể vào mức độ triển khai đồng bộ của các bộ, ngành, năng lực kỹ thuật, hạ tầng thông tin và nguồn lực nhân sự tại địa phương; theo Bộ Nội vụ, năm 2024 nhiều tỉnh, huyện vẫn thiếu nhân sự chuyên trách về quản trị rủi ro và công nghệ số. </w:t>
      </w:r>
    </w:p>
    <w:p w14:paraId="13AEACB6" w14:textId="77777777" w:rsidR="00F33B58" w:rsidRPr="00086837" w:rsidRDefault="00F33B58" w:rsidP="00F33B58">
      <w:pPr>
        <w:spacing w:before="60" w:line="269" w:lineRule="auto"/>
        <w:ind w:firstLine="720"/>
        <w:jc w:val="both"/>
        <w:rPr>
          <w:bCs/>
        </w:rPr>
      </w:pPr>
      <w:r w:rsidRPr="00086837">
        <w:rPr>
          <w:bCs/>
        </w:rPr>
        <w:t xml:space="preserve">c) Tác động về giới </w:t>
      </w:r>
    </w:p>
    <w:p w14:paraId="2F2480FC" w14:textId="77777777" w:rsidR="00F33B58" w:rsidRPr="00086837" w:rsidRDefault="00F33B58" w:rsidP="00F33B58">
      <w:pPr>
        <w:spacing w:before="60" w:line="269" w:lineRule="auto"/>
        <w:ind w:firstLine="720"/>
        <w:jc w:val="both"/>
        <w:rPr>
          <w:bCs/>
        </w:rPr>
      </w:pPr>
      <w:r w:rsidRPr="00086837">
        <w:rPr>
          <w:bCs/>
        </w:rPr>
        <w:t>Giải pháp 1 không phát sinh tác động về giới vì nội dung sửa đổi, bổ sung chỉ tập trung vào hoàn thiện hệ nguyên tắc và cơ chế bảo đảm quyền, lợi ích hợp pháp của tổ chức, cá nhân thông qua chuẩn hóa quy trình, làm rõ thẩm quyền, trách nhiệm, chế độ phối hợp và tăng cường minh bạch trong tổ chức thi hành. Các quy định này được áp dụng thống nhất đối với tất cả chủ thể có liên quan, không phân biệt giới, và không quy định điều kiện, tiêu chí, quyền hoặc nghĩa vụ khác nhau giữa nam và nữ, cũng không đặt ra cơ chế ưu tiên, hạn chế hay phân bổ nguồn lực dựa trên giới tính.</w:t>
      </w:r>
    </w:p>
    <w:p w14:paraId="2675063C" w14:textId="77777777" w:rsidR="00F33B58" w:rsidRPr="00086837" w:rsidRDefault="00F33B58" w:rsidP="00F33B58">
      <w:pPr>
        <w:spacing w:before="60" w:line="269" w:lineRule="auto"/>
        <w:ind w:firstLine="720"/>
        <w:jc w:val="both"/>
        <w:rPr>
          <w:bCs/>
        </w:rPr>
      </w:pPr>
      <w:r w:rsidRPr="00086837">
        <w:rPr>
          <w:bCs/>
        </w:rPr>
        <w:t>Trong phạm vi tác động của nghị định, không có dấu hiệu can thiệp vào khả năng tiếp cận thông tin, điều kiện thực hiện quyền và nghĩa vụ, hay mức độ thụ hưởng chính sách của từng giới. Điều này phù hợp với thực tiễn cơ cấu giới tính trong lực lượng lao động Việt Nam, nơi tỷ lệ nữ tham gia lực lượng lao động đạt 69,1% so với nam 78,6% (Tổng cục Thống kê, 2024), và nữ chiếm 47,2% tổng số việc làm - mức tương đối cân bằng trong tiếp cận cơ hội kinh tế - xã hội. Giải pháp 1 không làm thay đổi tương quan này và không tạo nguy cơ bất bình đẳng giới mới. Do đó, Giải pháp 1 không tạo ra khác biệt về quyền, nghĩa vụ, cơ hội tiếp cận thông tin hay điều kiện thực hiện quyền và nghĩa vụ giữa nam và nữ, và không phát sinh nguy cơ bất bình đẳng giới trong phạm vi điều chỉnh của nghị định.</w:t>
      </w:r>
    </w:p>
    <w:p w14:paraId="727CF898" w14:textId="77777777" w:rsidR="00F33B58" w:rsidRPr="00086837" w:rsidRDefault="00F33B58" w:rsidP="00F33B58">
      <w:pPr>
        <w:spacing w:before="60" w:line="269" w:lineRule="auto"/>
        <w:ind w:firstLine="720"/>
        <w:jc w:val="both"/>
        <w:rPr>
          <w:bCs/>
        </w:rPr>
      </w:pPr>
      <w:r w:rsidRPr="00086837">
        <w:rPr>
          <w:bCs/>
        </w:rPr>
        <w:t xml:space="preserve">d) Tác động của thủ tục hành chính </w:t>
      </w:r>
    </w:p>
    <w:p w14:paraId="3F59E664" w14:textId="77777777" w:rsidR="00F33B58" w:rsidRPr="00086837" w:rsidRDefault="00F33B58" w:rsidP="00F33B58">
      <w:pPr>
        <w:spacing w:before="60" w:line="269" w:lineRule="auto"/>
        <w:ind w:firstLine="720"/>
        <w:jc w:val="both"/>
      </w:pPr>
      <w:r w:rsidRPr="00086837">
        <w:t xml:space="preserve">Với định hướng của Giải pháp 1 là sửa đổi, bổ sung Nghị định số 81/2019/NĐ-CP nhằm hoàn thiện hệ nguyên tắc và cơ chế bảo đảm quyền, lợi ích hợp pháp trong phạm vi thẩm quyền của nghị định, tác động đối với thủ tục hành chính dự báo theo hướng chuẩn hóa quy trình, tăng minh bạch và nâng cao khả năng dự liệu trong tổ chức thực hiện. Việc làm rõ nguyên tắc áp dụng, đầu mối xử lý, quy trình phối hợp, thời hạn giải quyết và trách nhiệm giải trình giúp giảm tình trạng xử lý không thống nhất giữa các cơ quan, hạn chế yêu cầu cung cấp thông tin hoặc hồ sơ lặp lại và tạo cơ sở chuẩn hóa biểu mẫu, kênh tiếp nhận và cơ chế phản hồi trong các quy trình liên ngành (tiếp nhận và xử lý thông tin nghi ngờ; xử lý nhầm lẫn; giải quyết kiến nghị; công bố, cập nhật thông tin phục vụ tuân thủ). Trong bối cảnh hiện nay, doanh nghiệp Việt Nam phải dành trung bình 109 giờ/năm cho thủ tục hành chính thuế và 66 giờ cho thủ tục xuất nhập </w:t>
      </w:r>
      <w:r w:rsidRPr="00086837">
        <w:lastRenderedPageBreak/>
        <w:t>khẩu</w:t>
      </w:r>
      <w:r w:rsidRPr="00086837">
        <w:rPr>
          <w:rStyle w:val="FootnoteReference"/>
        </w:rPr>
        <w:footnoteReference w:id="43"/>
      </w:r>
      <w:r w:rsidRPr="00086837">
        <w:t>, việc chuẩn hóa quy trình và tăng cường số hóa theo Giải pháp 1 hỗ trợ giảm thời gian và chi phí giao dịch. Cơ sở này đặc biệt quan trọng khi theo khảo sát PCI 2023, 58-60% doanh nghiệp từng phải bổ sung hồ sơ nhiều lần do yêu cầu không thống nhất giữa các cơ quan</w:t>
      </w:r>
      <w:r w:rsidRPr="00086837">
        <w:rPr>
          <w:rStyle w:val="FootnoteReference"/>
        </w:rPr>
        <w:footnoteReference w:id="44"/>
      </w:r>
      <w:r w:rsidRPr="00086837">
        <w:t xml:space="preserve">. </w:t>
      </w:r>
      <w:r w:rsidRPr="00086837">
        <w:rPr>
          <w:spacing w:val="-2"/>
        </w:rPr>
        <w:t xml:space="preserve">Tác động tích cực nêu trên tạo điều kiện để từng bước đơn giản hóa thao tác nghiệp vụ, mở rộng việc nộp, nhận thông tin điện tử, theo dõi tiến độ xử lý hồ sơ và trao đổi hai chiều với cơ quan nhà nước, phù hợp định hướng chuyển đổi số trong quản lý nhà nước. </w:t>
      </w:r>
    </w:p>
    <w:p w14:paraId="76E857E0" w14:textId="77777777" w:rsidR="00F33B58" w:rsidRPr="00086837" w:rsidRDefault="00F33B58" w:rsidP="00F33B58">
      <w:pPr>
        <w:spacing w:before="60" w:line="269" w:lineRule="auto"/>
        <w:ind w:firstLine="720"/>
        <w:jc w:val="both"/>
      </w:pPr>
      <w:r w:rsidRPr="00086837">
        <w:t>Tuy nhiên, phạm vi sửa đổi của Giải pháp 1 chỉ tập trung vào khâu tổ chức thực hiện trong khuôn khổ nghị định nên chưa đủ để xử lý các vấn đề mang tính nền tảng hoặc phát sinh từ quy định tại luật chuyên ngành (Hải quan, Hóa chất, An ninh quốc gia, An toàn bức xạ). Các hạn chế chủ yếu gồm: (1) nghị định không thể tái cấu trúc toàn bộ hệ thống thủ tục hành chính hoặc giải quyết xung đột giữa các luật chuyên ngành khi có quy định khác nhau về cùng một vấn đề; (2) Nguy cơ tăng gánh nặng tuân thủ nếu yêu cầu báo cáo và hồ sơ được bổ sung mà chưa gắn với cơ chế tái sử dụng dữ liệu, chia sẻ thông tin hoặc liên thông thủ tục. Điều này ảnh hưởng đặc biệt đến nhóm doanh nghiệp rủi ro cao (hàng lưỡng dụng, hóa chất, sinh học), vốn đã chịu áp lực tuân thủ lớn; theo VCCI, chi phí tuân thủ của nhóm này tăng 5-7%/năm so với doanh nghiệp thông thường</w:t>
      </w:r>
      <w:r w:rsidRPr="00086837">
        <w:rPr>
          <w:rStyle w:val="FootnoteReference"/>
        </w:rPr>
        <w:footnoteReference w:id="45"/>
      </w:r>
      <w:r w:rsidRPr="00086837">
        <w:t>.</w:t>
      </w:r>
    </w:p>
    <w:p w14:paraId="4A802C81" w14:textId="77777777" w:rsidR="00F33B58" w:rsidRPr="004035E0" w:rsidRDefault="00F33B58" w:rsidP="00F33B58">
      <w:pPr>
        <w:spacing w:before="80" w:line="276" w:lineRule="auto"/>
        <w:ind w:firstLine="720"/>
        <w:jc w:val="both"/>
        <w:rPr>
          <w:bCs/>
          <w:spacing w:val="4"/>
        </w:rPr>
      </w:pPr>
      <w:r w:rsidRPr="004035E0">
        <w:rPr>
          <w:bCs/>
          <w:spacing w:val="4"/>
        </w:rPr>
        <w:t>1.2.2. Giải pháp 2: Xây dựng, ban hành Luật về phòng, chống phổ biến và tài trợ phổ biến vũ khí hủy diệt hàng loạt để luật hóa hệ thống nguyên tắc nền tảng, xác lập căn cứ và giới hạn áp dụng biện pháp kiểm soát, bảo đảm yêu cầu bảo vệ quyền con người, quyền công dân theo Hiến pháp và điều ước quốc tế liên quan</w:t>
      </w:r>
    </w:p>
    <w:p w14:paraId="32381BB8" w14:textId="77777777" w:rsidR="00F33B58" w:rsidRPr="004035E0" w:rsidRDefault="00F33B58" w:rsidP="00F33B58">
      <w:pPr>
        <w:spacing w:before="80" w:line="276" w:lineRule="auto"/>
        <w:ind w:firstLine="720"/>
        <w:jc w:val="both"/>
        <w:rPr>
          <w:bCs/>
          <w:spacing w:val="4"/>
        </w:rPr>
      </w:pPr>
      <w:r w:rsidRPr="004035E0">
        <w:rPr>
          <w:bCs/>
          <w:spacing w:val="4"/>
        </w:rPr>
        <w:t>a) Tác động đối với hệ thống pháp luật</w:t>
      </w:r>
    </w:p>
    <w:p w14:paraId="2D8C26EE" w14:textId="77777777" w:rsidR="00F33B58" w:rsidRPr="004035E0" w:rsidRDefault="00F33B58" w:rsidP="00F33B58">
      <w:pPr>
        <w:spacing w:before="80" w:line="276" w:lineRule="auto"/>
        <w:ind w:firstLine="720"/>
        <w:jc w:val="both"/>
        <w:rPr>
          <w:bCs/>
          <w:spacing w:val="4"/>
        </w:rPr>
      </w:pPr>
      <w:r w:rsidRPr="004035E0">
        <w:rPr>
          <w:bCs/>
          <w:spacing w:val="4"/>
        </w:rPr>
        <w:t xml:space="preserve">- Tính hợp hiến của chính sách: </w:t>
      </w:r>
    </w:p>
    <w:p w14:paraId="74BE3E11" w14:textId="77777777" w:rsidR="00F33B58" w:rsidRPr="004035E0" w:rsidRDefault="00F33B58" w:rsidP="00F33B58">
      <w:pPr>
        <w:spacing w:before="80" w:line="276" w:lineRule="auto"/>
        <w:ind w:firstLine="720"/>
        <w:jc w:val="both"/>
        <w:rPr>
          <w:bCs/>
          <w:spacing w:val="4"/>
        </w:rPr>
      </w:pPr>
      <w:r w:rsidRPr="004035E0">
        <w:rPr>
          <w:bCs/>
          <w:spacing w:val="4"/>
        </w:rPr>
        <w:t>Giải pháp 2 bảo đảm tính hợp hiến ở mức độ cao do đặt nền tảng pháp lý trong văn bản luật để thiết lập nguyên tắc, xác lập căn cứ, giới hạn áp dụng các biện pháp kiểm soát tác động đến quyền con người, quyền công dân đáp ứng quy định tại khoản 2 Điều 14, Hiến pháp năm 2013.</w:t>
      </w:r>
    </w:p>
    <w:p w14:paraId="41600890" w14:textId="77777777" w:rsidR="00F33B58" w:rsidRPr="004035E0" w:rsidRDefault="00F33B58" w:rsidP="00F33B58">
      <w:pPr>
        <w:spacing w:before="80" w:line="276" w:lineRule="auto"/>
        <w:ind w:firstLine="720"/>
        <w:jc w:val="both"/>
        <w:rPr>
          <w:bCs/>
          <w:spacing w:val="4"/>
        </w:rPr>
      </w:pPr>
      <w:r w:rsidRPr="004035E0">
        <w:rPr>
          <w:bCs/>
          <w:spacing w:val="4"/>
        </w:rPr>
        <w:t xml:space="preserve">Giải pháp này tạo điều kiện quy định đầy đủ và thống nhất các nguyên tắc bảo đảm quyền theo Hiến pháp và điều ước quốc tế liên quan, bao gồm: (1) nguyên tắc cần thiết, hợp lý, tương xứng khi áp dụng biện pháp kiểm soát; (2) quy định rõ thẩm quyền, điều kiện, trình tự, thủ tục, thời hạn và cơ chế </w:t>
      </w:r>
      <w:r w:rsidRPr="004035E0">
        <w:rPr>
          <w:bCs/>
          <w:spacing w:val="4"/>
        </w:rPr>
        <w:lastRenderedPageBreak/>
        <w:t>chấm dứt biện pháp; (3) cơ chế bảo đảm quyền được thông tin trong phạm vi cho phép, quyền giải trình, khiếu nại, tố cáo, khởi kiện; (4) cơ chế giám sát, kiểm tra, trách nhiệm giải trình và xử lý xung đột giữa yêu cầu an ninh với quyền, lợi ích hợp pháp của tổ chức, cá nhân. Nhờ đó, giải pháp này bảo đảm quy định về phòng, chống phổ biến và tài trợ phổ biến WMD, hợp hiến, ổn định, lâu dài.</w:t>
      </w:r>
    </w:p>
    <w:p w14:paraId="1C3555DB" w14:textId="77777777" w:rsidR="00F33B58" w:rsidRPr="004035E0" w:rsidRDefault="00F33B58" w:rsidP="00F33B58">
      <w:pPr>
        <w:spacing w:before="80" w:line="276" w:lineRule="auto"/>
        <w:ind w:firstLine="720"/>
        <w:jc w:val="both"/>
        <w:rPr>
          <w:bCs/>
          <w:spacing w:val="4"/>
        </w:rPr>
      </w:pPr>
      <w:r w:rsidRPr="004035E0">
        <w:rPr>
          <w:bCs/>
          <w:spacing w:val="4"/>
        </w:rPr>
        <w:t>Tác động bất lợi phát sinh do độ phức tạp lập pháp và yêu cầu đồng bộ hóa với nhiều luật chuyên ngành. Trường hợp quy định quá khung hoặc chưa định danh rõ tiêu chí kiểm soát (căn cứ áp dụng, giới hạn thẩm quyền, thời hạn, trình tự), phát sinh khó khăn trong áp dụng thống nhất và phát sinh khiếu nại; trường hợp quy định quá chi tiết nhưng thiếu tương thích với pháp luật hiện hành làm tăng nhu cầu rà soát, điều chỉnh và chi phí tổ chức thực hiện trong giai đoạn chuyển tiếp. Các tác động này được kiểm soát thông qua thiết kế rõ nguyên tắc áp dụng, cơ chế phối hợp liên ngành, trách nhiệm giải trình và cơ chế bảo đảm quyền (ràng buộc tiêu chí, quy trình rà soát, giải tỏa, khiếu nại, khắc phục).</w:t>
      </w:r>
    </w:p>
    <w:p w14:paraId="452B685B" w14:textId="77777777" w:rsidR="00F33B58" w:rsidRPr="004035E0" w:rsidRDefault="00F33B58" w:rsidP="00F33B58">
      <w:pPr>
        <w:spacing w:before="80" w:line="276" w:lineRule="auto"/>
        <w:ind w:firstLine="720"/>
        <w:jc w:val="both"/>
        <w:rPr>
          <w:bCs/>
          <w:spacing w:val="4"/>
        </w:rPr>
      </w:pPr>
      <w:r w:rsidRPr="004035E0">
        <w:rPr>
          <w:bCs/>
          <w:spacing w:val="4"/>
        </w:rPr>
        <w:t xml:space="preserve">- Tính hợp pháp, tính thống nhất của chính sách: </w:t>
      </w:r>
    </w:p>
    <w:p w14:paraId="2D4F54EF" w14:textId="77777777" w:rsidR="00F33B58" w:rsidRPr="004035E0" w:rsidRDefault="00F33B58" w:rsidP="00F33B58">
      <w:pPr>
        <w:spacing w:before="80" w:line="276" w:lineRule="auto"/>
        <w:ind w:firstLine="720"/>
        <w:jc w:val="both"/>
        <w:rPr>
          <w:bCs/>
          <w:spacing w:val="4"/>
        </w:rPr>
      </w:pPr>
      <w:r w:rsidRPr="004035E0">
        <w:rPr>
          <w:bCs/>
          <w:spacing w:val="4"/>
        </w:rPr>
        <w:t>Giải pháp 2 tạo cơ sở pháp lý để chuẩn hóa thống nhất các nguyên tắc, thẩm quyền và cơ chế thực thi liên ngành, qua đó đáp ứng trực tiếp nguyên tắc của Luật BHVBQPPL năm 2025 về việc “bảo đảm tính hợp hiến, tính hợp pháp, tính thống nhất của văn bản quy phạm pháp luật trong hệ thống pháp luật và không trái với điều ước quốc tế mà nước Cộng hòa xã hội chủ nghĩa Việt Nam là thành viên” (khoản 2 Điều 5). Việc luật hóa cũng phù hợp với yêu cầu Hiến pháp “Quyền con người, quyền công dân chỉ có thể bị hạn chế theo quy định của luật…”, nên các biện pháp kiểm soát có tác động đến quyền (như phong tỏa, hạn chế giao dịch, kiểm soát biên giới, thu thập - chia sẻ thông tin…) sẽ có căn cứ pháp lý rõ ràng hơn và giảm rủi ro áp dụng tùy nghi. Về tính thống nhất trong áp dụng, Luật BHVBQPPL đã xác lập nguyên tắc xử lý xung đột pháp luật: “</w:t>
      </w:r>
      <w:bookmarkStart w:id="0" w:name="khoan_3_58"/>
      <w:r w:rsidRPr="004035E0">
        <w:rPr>
          <w:bCs/>
          <w:spacing w:val="4"/>
          <w:lang w:val="en"/>
        </w:rPr>
        <w:t>Trư</w:t>
      </w:r>
      <w:r w:rsidRPr="004035E0">
        <w:rPr>
          <w:bCs/>
          <w:spacing w:val="4"/>
        </w:rPr>
        <w:t>ờng hợp các văn bản quy phạm pháp luật có quy định khác nhau về cùng một vấn đề thì áp dụng văn bản có hiệu lực pháp lý cao hơn</w:t>
      </w:r>
      <w:bookmarkEnd w:id="0"/>
      <w:r w:rsidRPr="004035E0">
        <w:rPr>
          <w:bCs/>
          <w:spacing w:val="4"/>
        </w:rPr>
        <w:t>” (khoản 3 Điều 58). Vì vậy, Giải pháp 2 có điều kiện thuận lợi để quy định cơ chế liên thông, khắc phục phân tán và tăng mức độ tương thích với điều ước quốc tế liên quan.</w:t>
      </w:r>
    </w:p>
    <w:p w14:paraId="577A218D" w14:textId="77777777" w:rsidR="00F33B58" w:rsidRPr="004035E0" w:rsidRDefault="00F33B58" w:rsidP="00F33B58">
      <w:pPr>
        <w:spacing w:before="80" w:line="276" w:lineRule="auto"/>
        <w:ind w:firstLine="720"/>
        <w:jc w:val="both"/>
        <w:rPr>
          <w:bCs/>
          <w:spacing w:val="4"/>
        </w:rPr>
      </w:pPr>
      <w:r w:rsidRPr="004035E0">
        <w:rPr>
          <w:bCs/>
          <w:spacing w:val="4"/>
        </w:rPr>
        <w:t xml:space="preserve">- Tính tương thích của chính sách với các điều ước quốc tế có liên quan mà nước Cộng hòa xã hội chủ nghĩa Việt Nam là thành viên: </w:t>
      </w:r>
    </w:p>
    <w:p w14:paraId="0365F811" w14:textId="77777777" w:rsidR="00F33B58" w:rsidRPr="004035E0" w:rsidRDefault="00F33B58" w:rsidP="004035E0">
      <w:pPr>
        <w:spacing w:before="80" w:line="269" w:lineRule="auto"/>
        <w:ind w:firstLine="720"/>
        <w:jc w:val="both"/>
        <w:rPr>
          <w:bCs/>
          <w:spacing w:val="4"/>
        </w:rPr>
      </w:pPr>
      <w:r w:rsidRPr="004035E0">
        <w:rPr>
          <w:bCs/>
          <w:spacing w:val="4"/>
        </w:rPr>
        <w:t xml:space="preserve">Giải pháp 2 tạo tác động tích cực về mức độ tương thích với các điều ước và chuẩn mực quốc tế liên quan, do việc ban hành Luật cho phép nội luật </w:t>
      </w:r>
      <w:r w:rsidRPr="004035E0">
        <w:rPr>
          <w:bCs/>
          <w:spacing w:val="4"/>
        </w:rPr>
        <w:lastRenderedPageBreak/>
        <w:t>hóa trực tiếp, đầy đủ và thống nhất các nghĩa vụ kiểm soát trong nước nhằm ngăn ngừa phổ biến và tài trợ phổ biến WMD; đồng thời đáp ứng yêu cầu của Nghị quyết 1540 (2004) của Hội đồng Bảo an Liên hợp quốc về việc quốc gia phải ban hành và thực thi pháp luật có hiệu lực để cấm, ngăn chặn chủ thể phi nhà nước tham gia, hỗ trợ hoặc tài trợ cho các hoạt động liên quan WMD; thiết lập các cơ chế kiểm soát trong nước như kiểm soát vật liệu liên quan, kiểm soát biên giới và kiểm soát xuất khẩu. Về phương diện tài chính, việc luật hóa cơ chế trừng phạt tài chính mục tiêu (phong tỏa “không chậm trễ”, chỉ định, đưa ra khỏi danh sách, miễn trừ, bảo vệ bên thứ ba…) cũng góp phần tăng mức độ tương thích với chuẩn mực quốc tế về chống tài trợ phổ biến theo Khuyến nghị số 7 của FATF.</w:t>
      </w:r>
    </w:p>
    <w:p w14:paraId="79EA4F7B" w14:textId="77777777" w:rsidR="00F33B58" w:rsidRPr="004035E0" w:rsidRDefault="00F33B58" w:rsidP="004035E0">
      <w:pPr>
        <w:spacing w:before="80" w:line="269" w:lineRule="auto"/>
        <w:ind w:firstLine="720"/>
        <w:jc w:val="both"/>
        <w:rPr>
          <w:bCs/>
          <w:spacing w:val="4"/>
        </w:rPr>
      </w:pPr>
      <w:r w:rsidRPr="004035E0">
        <w:rPr>
          <w:bCs/>
          <w:spacing w:val="4"/>
        </w:rPr>
        <w:t>Tuy nhiên, giải pháp này có thể phát sinh một số chi phí chuyển tiếp và chi phí tuân thủ trong giai đoạn đầu do yêu cầu rà soát, điều chỉnh quy trình nội bộ và tăng cường phối hợp liên ngành, đặc biệt đối với các chủ thể có hoạt động xuyên biên giới (xuất nhập khẩu, logistics, tài chính, hợp tác nghiên cứu). Song, xét về tổng thể, các chi phí này ở mức hợp lý và có xu hướng được bù trừ bởi lợi ích của khung pháp lý ở cấp luật, tăng tính ổn định, thống nhất và khả năng dự liệu, giảm tình trạng phân tán và giảm rủi ro áp dụng không nhất quán, qua đó hạn chế chi phí phát sinh do thiếu chuẩn chung trong thực thi; đồng thời, khi tiêu chí và quy trình được luật hóa rõ ràng, mức độ minh bạch và nhất quán cũng góp phần giảm rủi ro khiếu nại, tranh chấp so với trường hợp phụ thuộc chủ yếu vào cơ chế dưới luật.</w:t>
      </w:r>
    </w:p>
    <w:p w14:paraId="2CF82170" w14:textId="77777777" w:rsidR="00F33B58" w:rsidRPr="004035E0" w:rsidRDefault="00F33B58" w:rsidP="004035E0">
      <w:pPr>
        <w:spacing w:before="80" w:line="269" w:lineRule="auto"/>
        <w:ind w:firstLine="720"/>
        <w:jc w:val="both"/>
        <w:rPr>
          <w:bCs/>
          <w:spacing w:val="4"/>
        </w:rPr>
      </w:pPr>
      <w:r w:rsidRPr="004035E0">
        <w:rPr>
          <w:bCs/>
          <w:spacing w:val="4"/>
        </w:rPr>
        <w:t>b) Tác động về kinh tế -  xã hội</w:t>
      </w:r>
    </w:p>
    <w:p w14:paraId="462793FD" w14:textId="77777777" w:rsidR="00F33B58" w:rsidRPr="004035E0" w:rsidRDefault="00F33B58" w:rsidP="004035E0">
      <w:pPr>
        <w:spacing w:before="80" w:line="269" w:lineRule="auto"/>
        <w:ind w:firstLine="720"/>
        <w:jc w:val="both"/>
        <w:rPr>
          <w:bCs/>
          <w:spacing w:val="4"/>
        </w:rPr>
      </w:pPr>
      <w:r w:rsidRPr="004035E0">
        <w:rPr>
          <w:bCs/>
          <w:spacing w:val="4"/>
        </w:rPr>
        <w:t xml:space="preserve">- Đối với sản xuất, kinh doanh: </w:t>
      </w:r>
    </w:p>
    <w:p w14:paraId="776523A1" w14:textId="77777777" w:rsidR="00F33B58" w:rsidRPr="004035E0" w:rsidRDefault="00F33B58" w:rsidP="004035E0">
      <w:pPr>
        <w:spacing w:before="80" w:line="269" w:lineRule="auto"/>
        <w:ind w:firstLine="720"/>
        <w:jc w:val="both"/>
        <w:rPr>
          <w:bCs/>
          <w:spacing w:val="4"/>
        </w:rPr>
      </w:pPr>
      <w:r w:rsidRPr="004035E0">
        <w:rPr>
          <w:bCs/>
          <w:spacing w:val="4"/>
        </w:rPr>
        <w:t xml:space="preserve">Giải pháp 2 có tác động tích cực theo hướng tăng tính minh bạch và dự liệu của môi trường tuân thủ, qua đó hỗ trợ cải thiện điều kiện đầu tư, kinh doanh và thu hút vốn đầu tư nước ngoài. Khi các nguyên tắc nền tảng, căn cứ và giới hạn áp dụng biện pháp kiểm soát được quy định tập trung, rõ ràng và thống nhất, nhà đầu tư và doanh nghiệp có cơ sở để dự báo rủi ro tuân thủ, chuẩn bị phương án kinh doanh và giảm “bất định pháp lý” trong các hoạt động có yếu tố rủi ro (như xuất khẩu hàng hóa lưỡng dụng, dịch vụ hậu cần, trung gian thương mại, cung ứng dịch vụ tài chính). </w:t>
      </w:r>
    </w:p>
    <w:p w14:paraId="7E14C5B4" w14:textId="77777777" w:rsidR="00F33B58" w:rsidRPr="004035E0" w:rsidRDefault="00F33B58" w:rsidP="004035E0">
      <w:pPr>
        <w:spacing w:before="80" w:line="269" w:lineRule="auto"/>
        <w:ind w:firstLine="720"/>
        <w:jc w:val="both"/>
        <w:rPr>
          <w:bCs/>
          <w:spacing w:val="4"/>
        </w:rPr>
      </w:pPr>
      <w:r w:rsidRPr="004035E0">
        <w:rPr>
          <w:bCs/>
          <w:spacing w:val="4"/>
        </w:rPr>
        <w:t xml:space="preserve">Về tiếp cận thị trường và khả năng cạnh tranh, khung pháp lý minh bạch giúp doanh nghiệp, đặc biệt doanh nghiệp tham gia chuỗi cung ứng xuyên biên giới đáp ứng tốt hơn các yêu cầu tuân thủ của đối tác và thị trường nhập khẩu có chuẩn kiểm soát cao; đồng thời hạn chế tình trạng áp dụng không thống nhất giữa các cơ quan thực thi, qua đó giảm rủi ro chậm trễ, ách tắc trong giao dịch và thông quan. Thực tiễn cho thấy các thị trường lớn tiếp </w:t>
      </w:r>
      <w:r w:rsidRPr="004035E0">
        <w:rPr>
          <w:bCs/>
          <w:spacing w:val="4"/>
        </w:rPr>
        <w:lastRenderedPageBreak/>
        <w:t xml:space="preserve">tục nhấn mạnh yêu cầu pháp lý vững chắc đi kèm tăng cường trao đổi thông tin và minh bạch trong kiểm soát hàng hóa lưỡng dụng, điều này làm cho “tính dự liệu” và “tính minh bạch” trở thành một lợi thế cạnh tranh của doanh nghiệp khi tham gia thị trường quốc tế. </w:t>
      </w:r>
    </w:p>
    <w:p w14:paraId="7DF19215" w14:textId="77777777" w:rsidR="00F33B58" w:rsidRPr="00086837" w:rsidRDefault="00F33B58" w:rsidP="004035E0">
      <w:pPr>
        <w:spacing w:before="80" w:line="269" w:lineRule="auto"/>
        <w:ind w:firstLine="720"/>
        <w:jc w:val="both"/>
        <w:rPr>
          <w:bCs/>
        </w:rPr>
      </w:pPr>
      <w:r w:rsidRPr="00086837">
        <w:rPr>
          <w:bCs/>
        </w:rPr>
        <w:t>Đối với nguyên liệu, nhiên liệu, nguồn nhân lực, vốn và hạ tầng - kỹ thuật, giải pháp này có thể làm phát sinh nhu cầu nâng cấp năng lực tuân thủ ở một số ngành, lĩnh vực rủi ro cao (chẳng hạn doanh nghiệp kinh doanh hóa chất, thiết bị liên quan sinh học, nguồn phóng xạ; doanh nghiệp xuất nhập khẩu; doanh nghiệp dịch vụ hậu cần; tổ chức cung ứng dịch vụ tài chính). Các chủ thể này có thể cần bố trí đầu mối tuân thủ, đào tạo nhân sự, hoàn thiện quy trình sàng lọc đối tác và giao dịch, đầu tư hệ thống phục vụ đối chiếu danh sách và lưu vết hồ sơ. Tuy nhiên, nếu thiết kế theo hướng quản lý rủi ro, thủ tục rõ ràng và có hướng dẫn đầy đủ, các chi phí này chủ yếu là chi phí nâng chuẩn quản trị để hội nhập, đổi lại là môi trường minh bạch hơn, giúp giảm rủi ro bị gián đoạn quan hệ thanh toán và giao dịch quốc tế; yêu cầu thực thi trừng phạt tài chính mục tiêu liên quan tài trợ phổ biến theo Khuyến nghị số 7 của FATF là một chuẩn tham chiếu quan trọng cho nội dung này. Điển hình: kinh nghiệm của Indonesia cho thấy việc tuân thủ các khuyến nghị của FATF có thể mang lại hiệu quả kinh tế theo hướng củng cố niềm tin thị trường và cải thiện điều kiện thu hút đầu tư. Theo Báo cáo Khí hậu Đầu tư năm 2024 của Bộ Ngoại giao Hoa Kỳ, Indonesia là điểm đến thu hút đầu tư trực tiếp nước ngoài đáng kể, với quy mô nền kinh tế khoảng 1,5 nghìn tỷ đô la Mỹ (lớn nhất trong Hiệp hội các quốc gia Đông Nam Á), dân số khoảng 276 triệu người và động lực tăng trưởng dựa nhiều vào tiêu dùng cá nhân. Đồng thời, theo Hội nghị Liên hợp quốc về Thương mại và Phát triển, đầu tư trực tiếp ra nước ngoài của Indonesia tăng 79%, từ 3,8 tỷ đô la Mỹ năm 2021 lên 6,8 tỷ đô la Mỹ năm 2022. Bên cạnh đó, cơ quan tình báo tài chính của Indonesia ghi nhận năm 2023 đã đóng góp khoảng 2.959 tỷ rupiah Indonesia vào ngân sách nhà nước thông qua các khoản phạt hành chính, bồi thường và tịch thu tài sản liên quan đến tội phạm rửa tiền</w:t>
      </w:r>
      <w:r w:rsidRPr="00086837">
        <w:rPr>
          <w:rStyle w:val="FootnoteReference"/>
          <w:bCs/>
        </w:rPr>
        <w:footnoteReference w:id="46"/>
      </w:r>
      <w:r w:rsidRPr="00086837">
        <w:rPr>
          <w:bCs/>
        </w:rPr>
        <w:t>.</w:t>
      </w:r>
    </w:p>
    <w:p w14:paraId="377E2E09" w14:textId="77777777" w:rsidR="00F33B58" w:rsidRPr="00086837" w:rsidRDefault="00F33B58" w:rsidP="004035E0">
      <w:pPr>
        <w:spacing w:before="80" w:line="269" w:lineRule="auto"/>
        <w:ind w:firstLine="720"/>
        <w:jc w:val="both"/>
        <w:rPr>
          <w:bCs/>
        </w:rPr>
      </w:pPr>
      <w:r w:rsidRPr="00086837">
        <w:rPr>
          <w:bCs/>
        </w:rPr>
        <w:t>- Đối với việc làm:</w:t>
      </w:r>
    </w:p>
    <w:p w14:paraId="7EB8D33A" w14:textId="77777777" w:rsidR="00F33B58" w:rsidRPr="00086837" w:rsidRDefault="00F33B58" w:rsidP="004035E0">
      <w:pPr>
        <w:spacing w:before="80" w:line="269" w:lineRule="auto"/>
        <w:ind w:firstLine="720"/>
        <w:jc w:val="both"/>
        <w:rPr>
          <w:bCs/>
        </w:rPr>
      </w:pPr>
      <w:r w:rsidRPr="00086837">
        <w:rPr>
          <w:bCs/>
        </w:rPr>
        <w:t xml:space="preserve">Giải pháp 2 không làm biến động lớn về tổng số việc làm trong ngắn hạn, do trọng tâm của giải pháp là luật hóa hệ nguyên tắc nền tảng, đồng thời xác lập căn cứ và giới hạn áp dụng các biện pháp quản lý, kiểm soát; vì vậy không làm phát sinh biến động nhiều về nhu cầu lao động. Tác động chủ yếu thể hiện theo hướng ổn định và nâng cao chất lượng việc làm, thông qua việc tăng tính minh bạch, khả năng dự liệu của môi trường tuân thủ và chuẩn hóa yêu cầu quản trị </w:t>
      </w:r>
      <w:r w:rsidRPr="00086837">
        <w:rPr>
          <w:bCs/>
        </w:rPr>
        <w:lastRenderedPageBreak/>
        <w:t>rủi ro đối với các hoạt động có nguy cơ liên quan đến phổ biến và tài trợ phổ biến WMD.</w:t>
      </w:r>
    </w:p>
    <w:p w14:paraId="138C4E9C" w14:textId="77777777" w:rsidR="00F33B58" w:rsidRPr="00086837" w:rsidRDefault="00F33B58" w:rsidP="00F33B58">
      <w:pPr>
        <w:spacing w:before="80" w:line="276" w:lineRule="auto"/>
        <w:ind w:firstLine="720"/>
        <w:jc w:val="both"/>
        <w:rPr>
          <w:bCs/>
        </w:rPr>
      </w:pPr>
      <w:r w:rsidRPr="00086837">
        <w:rPr>
          <w:bCs/>
        </w:rPr>
        <w:t>Đối với khu vực doanh nghiệp, khi nghĩa vụ và cơ chế kiểm soát được quy định tập trung, rõ ràng ở cấp luật, doanh nghiệp có cơ sở pháp lý để tổ chức, kiện toàn mô hình quản trị tuân thủ và kiểm soát rủi ro. Điều này có thể làm gia tăng nhu cầu đối với nhóm vị trí việc làm mang tính chuyên môn như: pháp chế, tuân thủ, quản trị rủi ro, kiểm soát nội bộ, an ninh, kiểm soát chuỗi cung ứng, đặc biệt trong các lĩnh vực có yếu tố xuyên biên giới hoặc rủi ro cao (xuất nhập khẩu, logistics, trung gian thương mại, hóa chất - sinh học, cung ứng dịch vụ tài chính). Đồng thời, việc triển khai theo chuẩn mực quốc tế về trừng phạt tài chính mục tiêu liên quan tài trợ phổ biến theo Khuyến nghị số 7 của FATF và các yêu cầu kiểm soát trong nước theo Nghị quyết 1540 (2004) của Hội đồng Bảo an Liên hợp quốc có thể thúc đẩy nhu cầu đào tạo, bồi dưỡng năng lực nhận diện rủi ro, quản lý - lưu vết hồ sơ, sàng lọc và đối chiếu danh sách trừng phạt, qua đó nâng cao trình độ và kỹ năng của lực lượng lao động trong các bộ phận liên quan.</w:t>
      </w:r>
    </w:p>
    <w:p w14:paraId="08B077F0" w14:textId="77777777" w:rsidR="00F33B58" w:rsidRPr="00086837" w:rsidRDefault="00F33B58" w:rsidP="00F33B58">
      <w:pPr>
        <w:spacing w:before="80" w:line="276" w:lineRule="auto"/>
        <w:ind w:firstLine="720"/>
        <w:jc w:val="both"/>
        <w:rPr>
          <w:bCs/>
        </w:rPr>
      </w:pPr>
      <w:r w:rsidRPr="00086837">
        <w:rPr>
          <w:bCs/>
        </w:rPr>
        <w:t>Đối với khu vực nhà nước, việc ban hành quy định ở cấp luật tạo cơ sở để chuẩn hóa quy trình, phân định trách nhiệm và cơ chế phối hợp liên ngành. Trong giai đoạn đầu triển khai, có thể phát sinh nhu cầu tăng cường tập huấn, hoàn thiện quy trình nghiệp vụ và bố trí đầu mối thực hiện; tuy nhiên, khi quy trình vận hành ổn định và được hỗ trợ bởi ứng dụng công nghệ thông tin, giải pháp góp phần nâng cao hiệu quả sử dụng nhân lực, giảm tình trạng xử lý lặp lại do thiếu thống nhất, qua đó hạn chế áp lực gia tăng biên chế.</w:t>
      </w:r>
    </w:p>
    <w:p w14:paraId="74F5EDAD" w14:textId="77777777" w:rsidR="00F33B58" w:rsidRPr="00086837" w:rsidRDefault="00F33B58" w:rsidP="00F33B58">
      <w:pPr>
        <w:spacing w:before="80" w:line="276" w:lineRule="auto"/>
        <w:ind w:firstLine="720"/>
        <w:jc w:val="both"/>
        <w:rPr>
          <w:bCs/>
        </w:rPr>
      </w:pPr>
      <w:r w:rsidRPr="00086837">
        <w:rPr>
          <w:bCs/>
        </w:rPr>
        <w:t>Đồng thời, giải pháp này tạo môi trường tuân thủ minh bạch và có khả năng dự liệu có thể củng cố niềm tin của nhà đầu tư và đối tác, giảm rủi ro gián đoạn giao dịch và chuỗi cung ứng, từ đó góp phần duy trì việc làm trong các ngành, lĩnh vực liên quan. Ở chiều ngược lại, có thể phát sinh chi phí tuân thủ ban đầu đối với một số doanh nghiệp, chủ yếu do rà soát, điều chỉnh quy trình nội bộ và đào tạo nhân sự; tác động này được kiểm soát tốt hơn khi quy định và hướng dẫn thực hiện được thiết kế theo cách tiếp cận dựa trên rủi ro, đồng thời bảo đảm tiêu chí, quy trình và lộ trình áp dụng rõ ràng, khả thi.</w:t>
      </w:r>
    </w:p>
    <w:p w14:paraId="19AC0E98" w14:textId="77777777" w:rsidR="00F33B58" w:rsidRPr="00086837" w:rsidRDefault="00F33B58" w:rsidP="00F33B58">
      <w:pPr>
        <w:spacing w:before="80" w:line="276" w:lineRule="auto"/>
        <w:ind w:firstLine="720"/>
        <w:jc w:val="both"/>
        <w:rPr>
          <w:bCs/>
        </w:rPr>
      </w:pPr>
      <w:r w:rsidRPr="00086837">
        <w:rPr>
          <w:bCs/>
        </w:rPr>
        <w:t>- Đối với dân tộc, tôn giáo:</w:t>
      </w:r>
    </w:p>
    <w:p w14:paraId="78B8A3B9" w14:textId="77777777" w:rsidR="00F33B58" w:rsidRPr="00086837" w:rsidRDefault="00F33B58" w:rsidP="00F33B58">
      <w:pPr>
        <w:spacing w:before="80" w:line="276" w:lineRule="auto"/>
        <w:ind w:firstLine="720"/>
        <w:jc w:val="both"/>
        <w:rPr>
          <w:bCs/>
        </w:rPr>
      </w:pPr>
      <w:r w:rsidRPr="00086837">
        <w:rPr>
          <w:bCs/>
        </w:rPr>
        <w:t xml:space="preserve">Giải pháp 2 không phát sinh tác động bất lợi đối với công tác dân tộc, tôn giáo vì phạm vi điều chỉnh tập trung vào việc thiết lập khuôn khổ pháp lý ở cấp luật về nguyên tắc, căn cứ và cơ chế quản lý, kiểm soát các hoạt động có nguy cơ liên quan đến phổ biến và tài trợ phổ biến WMD; do đó không điều chỉnh </w:t>
      </w:r>
      <w:r w:rsidRPr="00086837">
        <w:rPr>
          <w:bCs/>
        </w:rPr>
        <w:lastRenderedPageBreak/>
        <w:t>trực tiếp quyền tự do tín ngưỡng, tôn giáo, quyền bình đẳng giữa các dân tộc và các hoạt động tôn giáo hợp pháp.</w:t>
      </w:r>
    </w:p>
    <w:p w14:paraId="5E6DED7C" w14:textId="77777777" w:rsidR="00F33B58" w:rsidRPr="00086837" w:rsidRDefault="00F33B58" w:rsidP="00F33B58">
      <w:pPr>
        <w:spacing w:before="80" w:line="276" w:lineRule="auto"/>
        <w:ind w:firstLine="720"/>
        <w:jc w:val="both"/>
        <w:rPr>
          <w:bCs/>
        </w:rPr>
      </w:pPr>
      <w:r w:rsidRPr="00086837">
        <w:rPr>
          <w:bCs/>
        </w:rPr>
        <w:t>Đồng thời, việc xác lập cơ sở pháp lý và cơ chế phối hợp, trao đổi thông tin, kiểm soát rủi ro có thể góp phần nâng cao hiệu quả phòng ngừa, phát hiện và xử lý các hành vi lợi dụng danh nghĩa, tổ chức, cộng đồng để che giấu hoạt động vi phạm pháp luật, tài trợ bất hợp pháp hoặc hỗ trợ phổ biến WMD. Theo đó, giải pháp có thể góp phần củng cố trật tự, an toàn xã hội, tạo môi trường ổn định cho sinh hoạt văn hóa - tín ngưỡng của các cộng đồng dân tộc, tôn giáo.</w:t>
      </w:r>
    </w:p>
    <w:p w14:paraId="3A3CA2DC" w14:textId="77777777" w:rsidR="00F33B58" w:rsidRPr="00086837" w:rsidRDefault="00F33B58" w:rsidP="00F33B58">
      <w:pPr>
        <w:spacing w:before="80" w:line="276" w:lineRule="auto"/>
        <w:ind w:firstLine="720"/>
        <w:jc w:val="both"/>
        <w:rPr>
          <w:bCs/>
        </w:rPr>
      </w:pPr>
      <w:r w:rsidRPr="00086837">
        <w:rPr>
          <w:bCs/>
        </w:rPr>
        <w:t>- Đối với văn hóa, giáo dục:</w:t>
      </w:r>
    </w:p>
    <w:p w14:paraId="4340B294" w14:textId="45E2CFEF" w:rsidR="00F33B58" w:rsidRPr="00086837" w:rsidRDefault="00F33B58" w:rsidP="00F33B58">
      <w:pPr>
        <w:spacing w:before="80" w:line="276" w:lineRule="auto"/>
        <w:ind w:firstLine="720"/>
        <w:jc w:val="both"/>
        <w:rPr>
          <w:bCs/>
        </w:rPr>
      </w:pPr>
      <w:r w:rsidRPr="00086837">
        <w:rPr>
          <w:bCs/>
        </w:rPr>
        <w:t>Về văn hóa: Giải pháp 2 không tác động trực tiếp đến việc bảo tồn và phát huy di sản văn hóa vật thể, phi vật thể, cũng như không làm thay đổi các điều kiện tham gia sáng tạo, tiếp cận và hưởng thụ đời sống văn hóa tinh thần của người dân; đồng thời không ảnh hưởng trực tiếp đến các chuẩn mực đạo đức, lối sống, văn hóa gia đình và văn hóa cộng đồng. Phạm vi điều chỉnh của giải pháp tập trung vào việc luật hóa hệ nguyên tắc nền tảng và xác lập căn cứ, giới hạn áp dụng các biện pháp quản lý, kiểm soát nhằm phòng, chống phổ biến và tài trợ phổ biến WMD; do đó, các hoạt động văn hóa hợp pháp tiếp tục được thực hiện theo pháp luật chuyên ngành hiện hành.</w:t>
      </w:r>
    </w:p>
    <w:p w14:paraId="240FBDBF" w14:textId="524E4FCB" w:rsidR="00F33B58" w:rsidRPr="00086837" w:rsidRDefault="00F33B58" w:rsidP="00F33B58">
      <w:pPr>
        <w:spacing w:before="80" w:line="276" w:lineRule="auto"/>
        <w:ind w:firstLine="720"/>
        <w:jc w:val="both"/>
        <w:rPr>
          <w:bCs/>
        </w:rPr>
      </w:pPr>
      <w:r w:rsidRPr="00086837">
        <w:rPr>
          <w:bCs/>
        </w:rPr>
        <w:t>Về giáo dục: Giải pháp 2 không làm thay đổi mục tiêu, chất lượng và cấu trúc của hệ thống giáo dục; không điều chỉnh trực tiếp nội dung, phương pháp, chương trình giáo dục - đào tạo và không làm hạn chế cơ hội học tập của người dân. Tuy nhiên, việc hình thành khung pháp lý thống nhất ở cấp luật và yêu cầu chuẩn hóa quản trị rủi ro sẽ góp phần nâng cao nhận thức về an toàn, an ninh và trách nhiệm tuân thủ pháp luật, qua đó hỗ trợ hoạt động bồi dưỡng, cập nhật kiến thức chuyên môn trong một số lĩnh vực đào tạo có liên quan (y - dược, hóa học, sinh học, công nghệ sinh học, kỹ thuật, logistics, thương mại quốc tế, tài chính, pháp luật). Trên cơ sở đó, các cơ sở giáo dục - đào tạo, cơ sở nghiên cứu và các chủ thể liên quan có thể tăng cường tập huấn, bồi dưỡng về quản trị rủi ro, an toàn - an ninh sinh học, hoá học, kiểm soát hàng hóa lưỡng dụng, quản lý - lưu vết hồ sơ và sàng lọc đối tác, giao dịch phù hợp với yêu cầu chuyên môn, đồng thời bảo đảm các quyền và điều kiện tham gia, hưởng thụ trong lĩnh vực văn hóa, giáo dục được duy trì ổn định.</w:t>
      </w:r>
    </w:p>
    <w:p w14:paraId="0AEF0409" w14:textId="77777777" w:rsidR="00F33B58" w:rsidRPr="00086837" w:rsidRDefault="00F33B58" w:rsidP="00F33B58">
      <w:pPr>
        <w:spacing w:before="80" w:line="276" w:lineRule="auto"/>
        <w:ind w:firstLine="720"/>
        <w:jc w:val="both"/>
        <w:rPr>
          <w:bCs/>
        </w:rPr>
      </w:pPr>
      <w:r w:rsidRPr="00086837">
        <w:rPr>
          <w:bCs/>
        </w:rPr>
        <w:t xml:space="preserve">- Đối với y tế: </w:t>
      </w:r>
    </w:p>
    <w:p w14:paraId="0E7A70DD" w14:textId="77777777" w:rsidR="00F33B58" w:rsidRPr="00086837" w:rsidRDefault="00F33B58" w:rsidP="00F33B58">
      <w:pPr>
        <w:spacing w:before="80" w:line="276" w:lineRule="auto"/>
        <w:ind w:firstLine="720"/>
        <w:jc w:val="both"/>
        <w:rPr>
          <w:bCs/>
        </w:rPr>
      </w:pPr>
      <w:r w:rsidRPr="00086837">
        <w:rPr>
          <w:bCs/>
        </w:rPr>
        <w:t xml:space="preserve">Giải pháp 2 không tác động trực tiếp đến việc cung ứng dịch vụ y tế, hoạt động chăm sóc sức khỏe cộng đồng, y tế dự phòng và phòng, chống dịch bệnh, chính sách bảo hiểm y tế, công tác vệ sinh an toàn thực phẩm, cũng như tổ chức và hoạt động của cơ sở khám bệnh, chữa bệnh theo pháp luật chuyên ngành. </w:t>
      </w:r>
      <w:r w:rsidRPr="00086837">
        <w:rPr>
          <w:bCs/>
        </w:rPr>
        <w:lastRenderedPageBreak/>
        <w:t>Phạm vi điều chỉnh của giải pháp tập trung vào việc luật hóa hệ nguyên tắc nền tảng và xác lập căn cứ, giới hạn áp dụng các biện pháp quản lý, kiểm soát nhằm phòng, chống phổ biến và tài trợ phổ biến WMD; do đó, cơ chế vận hành thường xuyên của hệ thống y tế và việc bảo đảm tiếp cận dịch vụ y tế của người dân tiếp tục được thực hiện ổn định theo quy định hiện hành.</w:t>
      </w:r>
    </w:p>
    <w:p w14:paraId="0A488C7B" w14:textId="77777777" w:rsidR="00F33B58" w:rsidRPr="00086837" w:rsidRDefault="00F33B58" w:rsidP="00F33B58">
      <w:pPr>
        <w:spacing w:before="80" w:line="276" w:lineRule="auto"/>
        <w:ind w:firstLine="720"/>
        <w:jc w:val="both"/>
        <w:rPr>
          <w:bCs/>
        </w:rPr>
      </w:pPr>
      <w:r w:rsidRPr="00086837">
        <w:rPr>
          <w:bCs/>
        </w:rPr>
        <w:t>Bên cạnh đó, việc thiết lập khuôn khổ pháp lý thống nhất ở cấp luật đối với quản lý, kiểm soát rủi ro liên quan đến các hoạt động và yếu tố có nguy cơ có thể góp phần tăng cường an toàn, an ninh sinh học, hoá học trong một số khâu có liên quan của ngành y tế (như xét nghiệm, nghiên cứu, lưu giữ - vận chuyển mẫu bệnh phẩm, tác nhân sinh học; sản xuất, sử dụng hóa chất chuyên dụng; quản lý nguồn phóng xạ sử dụng trong y tế theo quy định chuyên ngành), qua đó hỗ trợ mục tiêu bảo vệ sức khỏe cộng đồng và hạn chế nguy cơ bị lợi dụng, thất thoát hoặc sử dụng sai mục đích. Trên cơ sở đó, các cơ sở y tế, cơ sở nghiên cứu - xét nghiệm và các đơn vị có liên quan có thể rà soát, hoàn thiện quy trình quản trị rủi ro; tăng cường kiểm soát tiếp cận; quản lý, lưu vết hồ sơ và truy vết theo mức độ rủi ro, bảo đảm phù hợp yêu cầu chuyên môn và điều kiện thực tiễn.</w:t>
      </w:r>
    </w:p>
    <w:p w14:paraId="1C41F505" w14:textId="77777777" w:rsidR="00F33B58" w:rsidRPr="00086837" w:rsidRDefault="00F33B58" w:rsidP="00F33B58">
      <w:pPr>
        <w:spacing w:before="80" w:line="276" w:lineRule="auto"/>
        <w:ind w:firstLine="720"/>
        <w:jc w:val="both"/>
        <w:rPr>
          <w:bCs/>
        </w:rPr>
      </w:pPr>
      <w:r w:rsidRPr="00086837">
        <w:rPr>
          <w:bCs/>
        </w:rPr>
        <w:t>Trong giai đoạn đầu triển khai, một số chủ thể liên quan có thể phát sinh nhu cầu cập nhật quy trình nội bộ và bồi dưỡng nhân lực về an toàn, an ninh và tuân thủ; tác động này được kiểm soát tốt hơn khi quy định chi tiết và hướng dẫn thực hiện được thiết kế theo cách tiếp cận dựa trên rủi ro, phân định rõ đối tượng, phạm vi áp dụng và yêu cầu kỹ thuật, đồng thời bảo đảm nguyên tắc không làm ảnh hưởng đến tính liên tục, kịp thời của hoạt động khám bệnh, chữa bệnh, y tế dự phòng và phòng, chống dịch bệnh.</w:t>
      </w:r>
    </w:p>
    <w:p w14:paraId="29618C59" w14:textId="77777777" w:rsidR="00F33B58" w:rsidRPr="00086837" w:rsidRDefault="00F33B58" w:rsidP="00F33B58">
      <w:pPr>
        <w:spacing w:before="80" w:line="276" w:lineRule="auto"/>
        <w:ind w:firstLine="720"/>
        <w:jc w:val="both"/>
        <w:rPr>
          <w:bCs/>
        </w:rPr>
      </w:pPr>
      <w:r w:rsidRPr="00086837">
        <w:rPr>
          <w:bCs/>
        </w:rPr>
        <w:t xml:space="preserve">- Đối với môi trường: </w:t>
      </w:r>
    </w:p>
    <w:p w14:paraId="1E51E968" w14:textId="77777777" w:rsidR="00F33B58" w:rsidRPr="00086837" w:rsidRDefault="00F33B58" w:rsidP="00F33B58">
      <w:pPr>
        <w:spacing w:before="80" w:line="276" w:lineRule="auto"/>
        <w:ind w:firstLine="720"/>
        <w:jc w:val="both"/>
        <w:rPr>
          <w:bCs/>
        </w:rPr>
      </w:pPr>
      <w:r w:rsidRPr="00086837">
        <w:rPr>
          <w:bCs/>
        </w:rPr>
        <w:t>Giải pháp 2 không điều chỉnh trực tiếp các quan hệ xã hội thuộc phạm vi điều chỉnh của pháp luật về bảo vệ môi trường, bao gồm quản lý chất thải; kiểm soát, giảm thiểu ô nhiễm; bảo tồn đa dạng sinh học; phòng ngừa, ứng phó và khắc phục sự cố môi trường; đánh giá tác động môi trường và các nội dung quản lý môi trường khác. Phạm vi của giải pháp tập trung vào việc luật hóa hệ nguyên tắc nền tảng và xác lập căn cứ, giới hạn áp dụng các biện pháp quản lý, kiểm soát nhằm phòng, chống phổ biến và tài trợ phổ biến WMD; do đó, các cơ chế quản lý môi trường hiện hành tiếp tục được thực hiện theo pháp luật chuyên ngành và các văn bản có liên quan.</w:t>
      </w:r>
    </w:p>
    <w:p w14:paraId="477401AA" w14:textId="77777777" w:rsidR="00F33B58" w:rsidRPr="004035E0" w:rsidRDefault="00F33B58" w:rsidP="00F33B58">
      <w:pPr>
        <w:spacing w:before="80" w:line="269" w:lineRule="auto"/>
        <w:ind w:firstLine="720"/>
        <w:jc w:val="both"/>
        <w:rPr>
          <w:bCs/>
        </w:rPr>
      </w:pPr>
      <w:r w:rsidRPr="00086837">
        <w:rPr>
          <w:bCs/>
          <w:spacing w:val="-2"/>
        </w:rPr>
        <w:t xml:space="preserve">Tuy nhiên, thông qua việc thiết lập khuôn khổ pháp lý thống nhất ở văn bản luật đối với quản lý, kiểm soát rủi ro liên quan đến các hoạt động và yếu tố có nguy cơ, giải pháp có thể góp phần tăng cường mức độ an toàn trong việc quản lý, </w:t>
      </w:r>
      <w:r w:rsidRPr="00086837">
        <w:rPr>
          <w:bCs/>
          <w:spacing w:val="-2"/>
        </w:rPr>
        <w:lastRenderedPageBreak/>
        <w:t xml:space="preserve">lưu giữ, vận chuyển, sử dụng một số vật liệu, hóa chất, tác nhân có tính nguy hại, qua </w:t>
      </w:r>
      <w:r w:rsidRPr="004035E0">
        <w:rPr>
          <w:bCs/>
        </w:rPr>
        <w:t>đó hỗ trợ mục tiêu phòng ngừa sự cố và hạn chế nguy cơ phát tán gây tác động bất lợi đến môi trường. Trên cơ sở đó, tổ chức, cá nhân trong các lĩnh vực có liên quan có thể rà soát, hoàn thiện quy trình nội bộ về quản trị rủi ro; tăng cường kiểm soát điều kiện an toàn; quản lý, lưu vết và truy vết hồ sơ theo mức độ rủi ro, bảo đảm phù hợp yêu cầu chuyên môn và điều kiện thực tiễn.</w:t>
      </w:r>
    </w:p>
    <w:p w14:paraId="4870AA27" w14:textId="77777777" w:rsidR="00F33B58" w:rsidRPr="004035E0" w:rsidRDefault="00F33B58" w:rsidP="00F33B58">
      <w:pPr>
        <w:spacing w:before="80" w:line="269" w:lineRule="auto"/>
        <w:ind w:firstLine="720"/>
        <w:jc w:val="both"/>
        <w:rPr>
          <w:bCs/>
        </w:rPr>
      </w:pPr>
      <w:r w:rsidRPr="004035E0">
        <w:rPr>
          <w:bCs/>
        </w:rPr>
        <w:t>Trong giai đoạn đầu triển khai, một số chủ thể liên quan có thể phát sinh chi phí tuân thủ do yêu cầu rà soát quy trình, đào tạo nhân sự và bổ sung biện pháp quản lý; tác động này được kiểm soát tốt hơn khi quy định chi tiết và hướng dẫn thực hiện được thiết kế theo cách tiếp cận dựa trên rủi ro, phân định rõ đối tượng, phạm vi áp dụng và yêu cầu kỹ thuật, đồng thời bảo đảm tính thống nhất với pháp luật về bảo vệ môi trường, tránh chồng chéo, trùng lặp và không làm gián đoạn hoạt động sản xuất, kinh doanh hợp pháp.</w:t>
      </w:r>
    </w:p>
    <w:p w14:paraId="253C7A61" w14:textId="77777777" w:rsidR="00F33B58" w:rsidRPr="004035E0" w:rsidRDefault="00F33B58" w:rsidP="00F33B58">
      <w:pPr>
        <w:spacing w:before="80" w:line="269" w:lineRule="auto"/>
        <w:ind w:firstLine="720"/>
        <w:jc w:val="both"/>
        <w:rPr>
          <w:bCs/>
        </w:rPr>
      </w:pPr>
      <w:r w:rsidRPr="004035E0">
        <w:rPr>
          <w:bCs/>
        </w:rPr>
        <w:t>- Đối với quốc phòng, an ninh:</w:t>
      </w:r>
    </w:p>
    <w:p w14:paraId="1C2F9769" w14:textId="77777777" w:rsidR="00F33B58" w:rsidRPr="004035E0" w:rsidRDefault="00F33B58" w:rsidP="00F33B58">
      <w:pPr>
        <w:spacing w:before="80" w:line="269" w:lineRule="auto"/>
        <w:ind w:firstLine="720"/>
        <w:jc w:val="both"/>
        <w:rPr>
          <w:bCs/>
        </w:rPr>
      </w:pPr>
      <w:r w:rsidRPr="004035E0">
        <w:rPr>
          <w:bCs/>
        </w:rPr>
        <w:t>Giải pháp 2 tác động trực tiếp đối với lĩnh vực quốc phòng, an ninh thông qua việc luật hóa hệ nguyên tắc nền tảng, xác lập căn cứ và giới hạn áp dụng các biện pháp quản lý, kiểm soát tạo cơ sở pháp lý thống nhất, qua đó tăng cường năng lực bảo vệ an ninh quốc gia, bảo đảm chủ quyền và lợi ích quốc gia trước các nguy cơ an ninh phi truyền thống và các hành vi chuyển giao trái phép vật liệu, thiết bị, công nghệ lưỡng dụng liên quan đến tác nhân hóa học, sinh học, phóng xạ và hạt nhân; đồng thời củng cố tính minh bạch, tính dự liệu và hiệu lực thực thi, hạn chế khoảng trống pháp lý trong các tình huống phức tạp, xuyên biên giới.</w:t>
      </w:r>
    </w:p>
    <w:p w14:paraId="68D04526" w14:textId="77777777" w:rsidR="00F33B58" w:rsidRPr="004035E0" w:rsidRDefault="00F33B58" w:rsidP="00F33B58">
      <w:pPr>
        <w:spacing w:before="80" w:line="269" w:lineRule="auto"/>
        <w:ind w:firstLine="720"/>
        <w:jc w:val="both"/>
        <w:rPr>
          <w:bCs/>
        </w:rPr>
      </w:pPr>
      <w:r w:rsidRPr="004035E0">
        <w:rPr>
          <w:bCs/>
        </w:rPr>
        <w:t>Trên phương diện bảo đảm an ninh quốc gia và trật tự, an toàn xã hội, việc quy định rõ cơ chế quản lý rủi ro, chia sẻ thông tin và phối hợp liên ngành nâng cao hiệu quả cảnh báo sớm và xử lý thông tin nghiệp vụ; tăng cường khả năng kiểm soát tuyến, địa bàn và đối tượng trọng điểm trong các hoạt động xuất khẩu, nhập khẩu, vận chuyển, trung gian thương mại và giao dịch tài chính có liên quan. Cơ chế này hỗ trợ trực tiếp cho cơ quan, lực lượng thực thi trong việc ngăn chặn từ sớm nguy cơ hình thành chuỗi cung ứng phục vụ phổ biến WMD, từ tiếp cận vật liệu, thiết bị và công nghệ lưỡng dụng đến vận chuyển, trung chuyển và che giấu dòng tiền, qua đó giảm thiểu rủi ro đe dọa an ninh quốc gia.</w:t>
      </w:r>
    </w:p>
    <w:p w14:paraId="18F9B0E1" w14:textId="77777777" w:rsidR="00F33B58" w:rsidRPr="004035E0" w:rsidRDefault="00F33B58" w:rsidP="00F33B58">
      <w:pPr>
        <w:spacing w:before="80" w:line="269" w:lineRule="auto"/>
        <w:ind w:firstLine="720"/>
        <w:jc w:val="both"/>
        <w:rPr>
          <w:bCs/>
        </w:rPr>
      </w:pPr>
      <w:r w:rsidRPr="004035E0">
        <w:rPr>
          <w:bCs/>
        </w:rPr>
        <w:t xml:space="preserve">Đối với quốc phòng, khuôn khổ pháp lý thống nhất ở cấp luật củng cố cơ sở để tổ chức triển khai nhiệm vụ phòng thủ, ứng phó và khắc phục hậu quả sự cố liên quan đến tác nhân hóa học, sinh học, phóng xạ và hạt nhân; gắn với yêu cầu bảo vệ mục tiêu trọng yếu, bảo đảm an toàn lực lượng, an toàn khu vực phòng thủ và an ninh, an toàn các hoạt động quốc phòng. Việc quy định rõ trách nhiệm, quy trình phối hợp và chuẩn hóa yêu cầu quản trị rủi ro hỗ trợ nâng cao </w:t>
      </w:r>
      <w:r w:rsidRPr="004035E0">
        <w:rPr>
          <w:bCs/>
        </w:rPr>
        <w:lastRenderedPageBreak/>
        <w:t>năng lực sẵn sàng ứng phó, tổ chức lực lượng, huấn luyện, diễn tập và bảo đảm trang bị, phương tiện, cơ chế huy động nguồn lực khi xảy ra tình huống, sự cố; góp phần bảo đảm yêu cầu sẵn sàng chiến đấu và phòng thủ dân sự theo chức năng, nhiệm vụ của từng cơ quan, đơn vị.</w:t>
      </w:r>
    </w:p>
    <w:p w14:paraId="3E0354B2" w14:textId="77777777" w:rsidR="00F33B58" w:rsidRPr="004035E0" w:rsidRDefault="00F33B58" w:rsidP="00F33B58">
      <w:pPr>
        <w:spacing w:before="80" w:line="269" w:lineRule="auto"/>
        <w:ind w:firstLine="720"/>
        <w:jc w:val="both"/>
        <w:rPr>
          <w:bCs/>
        </w:rPr>
      </w:pPr>
      <w:r w:rsidRPr="004035E0">
        <w:rPr>
          <w:bCs/>
        </w:rPr>
        <w:t>Về hợp tác quốc tế và thực thi nghĩa vụ, khuôn khổ pháp lý ở cấp luật tăng cường tính tương thích với các yêu cầu kiểm soát trong nước theo Nghị quyết số 1540 (năm 2004) của Hội đồng Bảo an Liên hợp quốc và các chuẩn mực về trừng phạt tài chính mục tiêu liên quan đến tài trợ phổ biến, qua đó nâng cao năng lực phối hợp trong trao đổi thông tin, tương trợ và phối hợp điều tra, ngăn chặn hoạt động chuyển giao trái phép và quản lý rủi ro xuyên biên giới.</w:t>
      </w:r>
    </w:p>
    <w:p w14:paraId="20D509E8" w14:textId="77777777" w:rsidR="00F33B58" w:rsidRPr="004035E0" w:rsidRDefault="00F33B58" w:rsidP="00F33B58">
      <w:pPr>
        <w:spacing w:before="80" w:line="269" w:lineRule="auto"/>
        <w:ind w:firstLine="720"/>
        <w:jc w:val="both"/>
        <w:rPr>
          <w:bCs/>
        </w:rPr>
      </w:pPr>
      <w:r w:rsidRPr="004035E0">
        <w:rPr>
          <w:bCs/>
        </w:rPr>
        <w:t>Tuy nhiên, trong giai đoạn đầu triển khai có thể phát sinh yêu cầu kiện toàn đầu mối, hoàn thiện quy trình nghiệp vụ, tăng cường tập huấn, xây dựng hệ thống thông tin và bảo đảm điều kiện kỹ thuật phục vụ kiểm soát, giám sát và phân tích rủi ro, cũng như tăng cường phối hợp liên ngành; khi cơ chế vận hành ổn định, giải pháp này sẽ góp phần giảm tình trạng chồng chéo, trùng lặp, nâng cao hiệu quả huy động và sử dụng nguồn lực, đồng thời tăng cường năng lực phòng ngừa và ứng phó đối với các tình huống liên quan đến tác nhân hóa học, sinh học, phóng xạ và hạt nhân, góp phần bảo vệ an ninh quốc gia, trật tự, an toàn xã hội và lợi ích quốc gia - dân tộc.</w:t>
      </w:r>
    </w:p>
    <w:p w14:paraId="27E9C992" w14:textId="77777777" w:rsidR="00F33B58" w:rsidRPr="004035E0" w:rsidRDefault="00F33B58" w:rsidP="00F33B58">
      <w:pPr>
        <w:spacing w:before="80" w:line="269" w:lineRule="auto"/>
        <w:ind w:firstLine="720"/>
        <w:jc w:val="both"/>
        <w:rPr>
          <w:bCs/>
        </w:rPr>
      </w:pPr>
      <w:r w:rsidRPr="004035E0">
        <w:rPr>
          <w:bCs/>
        </w:rPr>
        <w:t>- Đối với phân cấp, phân quyền:</w:t>
      </w:r>
    </w:p>
    <w:p w14:paraId="4EE6BA08" w14:textId="77777777" w:rsidR="00F33B58" w:rsidRPr="004035E0" w:rsidRDefault="00F33B58" w:rsidP="00F33B58">
      <w:pPr>
        <w:spacing w:before="80" w:line="269" w:lineRule="auto"/>
        <w:ind w:firstLine="720"/>
        <w:jc w:val="both"/>
        <w:rPr>
          <w:bCs/>
        </w:rPr>
      </w:pPr>
      <w:r w:rsidRPr="004035E0">
        <w:rPr>
          <w:bCs/>
        </w:rPr>
        <w:t>Giải pháp 2 không làm thay đổi mô hình phân cấp, phân quyền giữa Trung ương và địa phương theo quy định của pháp luật hiện hành, do nội dung trọng tâm của giải pháp là luật hóa hệ nguyên tắc nền tảng và xác lập căn cứ, giới hạn áp dụng các biện pháp quản lý, kiểm soát nhằm phòng, chống phổ biến và tài trợ phổ biến vũ khí hủy diệt hàng loạt. Trên cơ sở khung pháp lý ở cấp luật, giải pháp làm rõ hơn thẩm quyền, trách nhiệm của cơ quan nhà nước ở Trung ương và chính quyền địa phương trong một số khâu có liên quan, bảo đảm thống nhất quản lý nhà nước, đồng thời phù hợp chức năng, nhiệm vụ của từng cấp. Đồng thời, giải pháp này tạo cơ sở để giao nhiệm vụ, phân công trách nhiệm và tổ chức thực hiện theo địa bàn đối với một số nội dung mang tính triển khai, phối hợp và giám sát, gồm: tuyên truyền, hướng dẫn tuân thủ; phối hợp kiểm tra, giám sát theo thẩm quyền; tiếp nhận, xác minh ban đầu thông tin nghi ngờ; quản lý, tổng hợp hồ sơ, báo cáo, thống kê; phối hợp xử lý tình huống, sự cố liên quan theo quy định. Việc quy định rõ cơ chế phối hợp liên ngành, chế độ thông tin, báo cáo và trách nhiệm giải trình góp phần hạn chế chồng chéo, trùng lặp trong thực thi, khắc phục tình trạng đùn đẩy trách nhiệm, bảo đảm kiểm soát rủi ro thống nhất từ Trung ương đến địa phương.</w:t>
      </w:r>
    </w:p>
    <w:p w14:paraId="047BB680" w14:textId="77777777" w:rsidR="00F33B58" w:rsidRPr="004035E0" w:rsidRDefault="00F33B58" w:rsidP="00F33B58">
      <w:pPr>
        <w:spacing w:before="80" w:line="269" w:lineRule="auto"/>
        <w:ind w:firstLine="720"/>
        <w:jc w:val="both"/>
        <w:rPr>
          <w:bCs/>
          <w:spacing w:val="-4"/>
        </w:rPr>
      </w:pPr>
      <w:r w:rsidRPr="004035E0">
        <w:rPr>
          <w:bCs/>
        </w:rPr>
        <w:lastRenderedPageBreak/>
        <w:t>Tuy nhiên, trong giai đoạn đầu triển khai, phát sinh yêu cầu rà soát, điều chỉnh quy trình phối hợp, kiện toàn đầu mối và tập huấn nghiệp vụ, bảo đảm điều kiện nhân lực và kỹ thuật cho địa phương, nhất là tại địa bàn có hoạt động xuất khẩu, nhập khẩu, vận chuyển, trung chuyển và sản xuất,</w:t>
      </w:r>
      <w:r w:rsidRPr="004035E0">
        <w:rPr>
          <w:bCs/>
          <w:spacing w:val="-4"/>
        </w:rPr>
        <w:t xml:space="preserve"> kinh doanh hàng hóa có nguy cơ. Tác động này được kiểm soát tốt hơn khi quy định chi tiết và hướng dẫn thực hiện được ban hành kịp thời, phân định rõ thẩm quyền, thống nhất đầu mối phối hợp và bảo đảm tính khả thi, phù hợp năng lực tổ chức thực hiện của từng cấp chính quyền.</w:t>
      </w:r>
    </w:p>
    <w:p w14:paraId="19150E11" w14:textId="77777777" w:rsidR="00F33B58" w:rsidRPr="004035E0" w:rsidRDefault="00F33B58" w:rsidP="00F33B58">
      <w:pPr>
        <w:spacing w:before="80" w:line="269" w:lineRule="auto"/>
        <w:ind w:firstLine="720"/>
        <w:jc w:val="both"/>
        <w:rPr>
          <w:bCs/>
          <w:spacing w:val="-4"/>
        </w:rPr>
      </w:pPr>
      <w:r w:rsidRPr="004035E0">
        <w:rPr>
          <w:bCs/>
          <w:spacing w:val="-4"/>
        </w:rPr>
        <w:t>- Đối với khoa học, công nghệ, đổi mới sáng tạo và chuyển đổi số:</w:t>
      </w:r>
    </w:p>
    <w:p w14:paraId="57C9532E" w14:textId="77777777" w:rsidR="00F33B58" w:rsidRPr="004035E0" w:rsidRDefault="00F33B58" w:rsidP="00F33B58">
      <w:pPr>
        <w:spacing w:before="80" w:line="269" w:lineRule="auto"/>
        <w:ind w:firstLine="720"/>
        <w:jc w:val="both"/>
        <w:rPr>
          <w:bCs/>
          <w:spacing w:val="-4"/>
        </w:rPr>
      </w:pPr>
      <w:r w:rsidRPr="004035E0">
        <w:rPr>
          <w:bCs/>
          <w:spacing w:val="-4"/>
        </w:rPr>
        <w:t>Giải pháp 2 không điều chỉnh và không làm thay đổi mục tiêu, định hướng phát triển khoa học và công nghệ, đổi mới sáng tạo và chuyển đổi số theo chủ trương, chính sách hiện hành; đồng thời không đặt ra hạn chế đối với hoạt động nghiên cứu, phát triển, ứng dụng công nghệ hợp pháp. Phạm vi điều chỉnh của giải pháp tập trung vào việc luật hóa hệ nguyên tắc nền tảng và xác lập căn cứ, giới hạn áp dụng các biện pháp quản lý, kiểm soát nhằm phòng, chống phổ biến và tài trợ phổ biến WMD; vì vậy, tác động chủ yếu thể hiện ở việc chuẩn hóa yêu cầu quản trị rủi ro đối với một số hoạt động khoa học - công nghệ có tính chất lưỡng dụng hoặc tiềm ẩn nguy cơ bị lợi dụng.</w:t>
      </w:r>
    </w:p>
    <w:p w14:paraId="6188DD9B" w14:textId="77777777" w:rsidR="00F33B58" w:rsidRPr="004035E0" w:rsidRDefault="00F33B58" w:rsidP="00F33B58">
      <w:pPr>
        <w:spacing w:before="80" w:line="269" w:lineRule="auto"/>
        <w:ind w:firstLine="720"/>
        <w:jc w:val="both"/>
        <w:rPr>
          <w:bCs/>
          <w:spacing w:val="-4"/>
        </w:rPr>
      </w:pPr>
      <w:r w:rsidRPr="004035E0">
        <w:rPr>
          <w:bCs/>
          <w:spacing w:val="-4"/>
        </w:rPr>
        <w:t>Đồng thời, giải pháp này tạo cơ sở pháp lý để thúc đẩy thực hành nghiên cứu và đổi mới sáng tạo có trách nhiệm; tăng cường yêu cầu về an toàn, an ninh trong quản lý vật liệu, thiết bị, quy trình nghiên cứu và dữ liệu liên quan đối với các lĩnh vực nhạy cảm. Trên cơ sở đó, các cơ quan, tổ chức có liên quan thực hiện việc đánh giá rủi ro, kiểm soát tiếp cận, quản lý, lưu vết hồ sơ, truy xuất thông tin theo quy định, phục vụ phòng ngừa, phát hiện và xử lý hành vi lợi dụng thành tựu khoa học - công nghệ cho mục đích vi phạm pháp luật. Khung pháp lý rõ ràng, thống nhất đồng thời tăng cường tính minh bạch và khả năng dự liệu trong hợp tác nghiên cứu, chuyển giao công nghệ, góp phần củng cố uy tín của môi trường khoa học - công nghệ và đổi mới sáng tạo.</w:t>
      </w:r>
    </w:p>
    <w:p w14:paraId="5AAA719A" w14:textId="77777777" w:rsidR="00F33B58" w:rsidRPr="004035E0" w:rsidRDefault="00F33B58" w:rsidP="00F33B58">
      <w:pPr>
        <w:spacing w:before="80" w:line="276" w:lineRule="auto"/>
        <w:ind w:firstLine="720"/>
        <w:jc w:val="both"/>
        <w:rPr>
          <w:bCs/>
          <w:spacing w:val="-4"/>
        </w:rPr>
      </w:pPr>
      <w:r w:rsidRPr="004035E0">
        <w:rPr>
          <w:bCs/>
          <w:spacing w:val="-4"/>
        </w:rPr>
        <w:t>Đối với chuyển đổi số trong quản lý nhà nước, giải pháp này đặt cơ sở cho việc chuẩn hóa quy trình nghiệp vụ và ứng dụng công nghệ thông tin trong các khâu: quản lý thông tin, chế độ báo cáo; sàng lọc, đối chiếu theo danh mục và tiêu chí rủi ro; quản lý hồ sơ điện tử; chia sẻ dữ liệu giữa cơ quan có thẩm quyền theo cơ chế phối hợp liên ngành; theo dõi, giám sát và cảnh báo sớm. Việc điện tử hóa quy trình và dữ liệu góp phần giảm trùng lặp trong khai báo, báo cáo; nâng cao hiệu quả quản lý dựa trên rủi ro; hỗ trợ kiểm soát tuân thủ trong hoạt động có yếu tố xuyên biên giới.</w:t>
      </w:r>
    </w:p>
    <w:p w14:paraId="57D5092B" w14:textId="77777777" w:rsidR="00F33B58" w:rsidRPr="004035E0" w:rsidRDefault="00F33B58" w:rsidP="00F33B58">
      <w:pPr>
        <w:spacing w:before="80" w:line="276" w:lineRule="auto"/>
        <w:ind w:firstLine="720"/>
        <w:jc w:val="both"/>
        <w:rPr>
          <w:bCs/>
          <w:spacing w:val="-4"/>
        </w:rPr>
      </w:pPr>
      <w:r w:rsidRPr="004035E0">
        <w:rPr>
          <w:bCs/>
          <w:spacing w:val="-4"/>
        </w:rPr>
        <w:t xml:space="preserve">Tuy nhiên, trong giai đoạn đầu triển khai, giải pháp này làm phát sinh yêu cầu rà soát, cập nhật quy trình nội bộ; đào tạo, bồi dưỡng nhân lực; đầu tư, nâng </w:t>
      </w:r>
      <w:r w:rsidRPr="004035E0">
        <w:rPr>
          <w:bCs/>
          <w:spacing w:val="-4"/>
        </w:rPr>
        <w:lastRenderedPageBreak/>
        <w:t>cấp hạ tầng kỹ thuật và bảo đảm an toàn thông tin phục vụ quản trị rủi ro và quản lý hồ sơ. Tác động này được kiểm soát tốt hơn khi quy định chi tiết và hướng dẫn thi hành được ban hành kịp thời, phân định rõ đối tượng và phạm vi áp dụng, bảo đảm tính thống nhất với pháp luật chuyên ngành, đồng thời thiết kế quy trình theo hướng điện tử hóa, liên thông và hợp lý về yêu cầu tuân thủ.</w:t>
      </w:r>
    </w:p>
    <w:p w14:paraId="22CDA9DD" w14:textId="77777777" w:rsidR="00F33B58" w:rsidRPr="004035E0" w:rsidRDefault="00F33B58" w:rsidP="00F33B58">
      <w:pPr>
        <w:spacing w:before="80" w:line="276" w:lineRule="auto"/>
        <w:ind w:firstLine="720"/>
        <w:jc w:val="both"/>
        <w:rPr>
          <w:bCs/>
          <w:spacing w:val="-4"/>
        </w:rPr>
      </w:pPr>
      <w:r w:rsidRPr="004035E0">
        <w:rPr>
          <w:bCs/>
          <w:spacing w:val="-4"/>
        </w:rPr>
        <w:t>- Đối với các nội dung khác của kinh tế - xã hội:</w:t>
      </w:r>
    </w:p>
    <w:p w14:paraId="46FA44B3" w14:textId="77777777" w:rsidR="00F33B58" w:rsidRPr="004035E0" w:rsidRDefault="00F33B58" w:rsidP="00F33B58">
      <w:pPr>
        <w:spacing w:before="80" w:line="276" w:lineRule="auto"/>
        <w:ind w:firstLine="720"/>
        <w:jc w:val="both"/>
        <w:rPr>
          <w:bCs/>
          <w:spacing w:val="-4"/>
        </w:rPr>
      </w:pPr>
      <w:r w:rsidRPr="004035E0">
        <w:rPr>
          <w:bCs/>
          <w:spacing w:val="-4"/>
        </w:rPr>
        <w:t>Giải pháp 2 không làm thay đổi trực tiếp các chính sách kinh tế - xã hội cơ bản về phát triển thị trường, an sinh xã hội, lao động, dân số, văn hóa, giáo dục, y tế và môi trường theo hệ thống pháp luật hiện hành. Tuy nhiên, giải pháp tác động lan tỏa đến kinh tế - xã hội thông qua việc củng cố nền tảng pháp lý cho quản trị rủi ro, bảo đảm an ninh, an toàn trong một số hoạt động có yếu tố xuyên biên giới và các lĩnh vực nhạy cảm.</w:t>
      </w:r>
    </w:p>
    <w:p w14:paraId="0A2A5076" w14:textId="77777777" w:rsidR="00F33B58" w:rsidRPr="004035E0" w:rsidRDefault="00F33B58" w:rsidP="00F33B58">
      <w:pPr>
        <w:spacing w:before="80" w:line="276" w:lineRule="auto"/>
        <w:ind w:firstLine="720"/>
        <w:jc w:val="both"/>
        <w:rPr>
          <w:bCs/>
          <w:spacing w:val="-4"/>
        </w:rPr>
      </w:pPr>
      <w:r w:rsidRPr="004035E0">
        <w:rPr>
          <w:bCs/>
          <w:spacing w:val="-4"/>
        </w:rPr>
        <w:t>Về môi trường đầu tư - kinh doanh, khuôn khổ pháp lý thống nhất, minh bạch và có khả năng dự liệu góp phần nâng cao niềm tin của nhà đầu tư, đối tác, hỗ trợ tính ổn định và thông suốt của hoạt động thương mại, đầu tư; đồng thời tăng cường uy tín quốc gia trong thực thi chuẩn mực và nghĩa vụ quốc tế, qua đó hỗ trợ thu hút hợp tác, chuyển giao công nghệ và mở rộng thị trường trong các ngành nghề có liên quan. Việc kiểm soát rủi ro đối với hàng hóa lưỡng dụng, hoạt động xuất khẩu, nhập khẩu, trung gian thương mại và giao dịch tài chính hạn chế nguy cơ bị lợi dụng vào mục đích vi phạm pháp luật, giảm rủi ro gián đoạn chuỗi cung ứng và tác động tiêu cực đến hoạt động sản xuất, kinh doanh hợp pháp.</w:t>
      </w:r>
    </w:p>
    <w:p w14:paraId="145D72A5" w14:textId="77777777" w:rsidR="00F33B58" w:rsidRPr="004035E0" w:rsidRDefault="00F33B58" w:rsidP="00F33B58">
      <w:pPr>
        <w:spacing w:before="60" w:line="269" w:lineRule="auto"/>
        <w:ind w:firstLine="720"/>
        <w:jc w:val="both"/>
        <w:rPr>
          <w:bCs/>
          <w:spacing w:val="-4"/>
        </w:rPr>
      </w:pPr>
      <w:r w:rsidRPr="004035E0">
        <w:rPr>
          <w:bCs/>
          <w:spacing w:val="-4"/>
        </w:rPr>
        <w:t xml:space="preserve">c) Tác động về giới </w:t>
      </w:r>
    </w:p>
    <w:p w14:paraId="6003EB1F" w14:textId="77777777" w:rsidR="00F33B58" w:rsidRPr="004035E0" w:rsidRDefault="00F33B58" w:rsidP="00F33B58">
      <w:pPr>
        <w:spacing w:before="80" w:line="269" w:lineRule="auto"/>
        <w:ind w:firstLine="720"/>
        <w:jc w:val="both"/>
        <w:rPr>
          <w:spacing w:val="-4"/>
        </w:rPr>
      </w:pPr>
      <w:r w:rsidRPr="004035E0">
        <w:rPr>
          <w:spacing w:val="-4"/>
        </w:rPr>
        <w:t>Giải pháp 2 không làm thay đổi quyền, nghĩa vụ cơ bản của công dân theo giới và không tạo ra sự khác biệt về điều kiện tiếp cận, thụ hưởng chính sách giữa nam và nữ trong các lĩnh vực thuộc phạm vi điều chỉnh. Các quy định chủ yếu tập trung vào việc luật hóa hệ nguyên tắc nền tảng và xác lập căn cứ, giới hạn áp dụng các biện pháp quản lý, kiểm soát nhằm phòng, chống phổ biến và tài trợ phổ biến WMD; do đó tác động về giới không phát sinh theo hướng trực tiếp. Tuy nhiên, thông qua việc tăng cường khuôn khổ pháp lý về quản trị rủi ro, tuân thủ và kiểm soát trong các hoạt động có nguy cơ, giải pháp tạo điều kiện để hình thành, phát triển các vị trí việc làm và hoạt động chuyên môn trong lĩnh vực pháp chế - tuân thủ, quản trị rủi ro, kiểm soát nội bộ, phân tích thông tin và quản lý dữ liệu. Tác động này phát sinh theo hướng cơ hội nghề nghiệp, không phụ thuộc giới tính, đồng thời góp phần thúc đẩy môi trường làm việc chuyên nghiệp, minh bạch.</w:t>
      </w:r>
    </w:p>
    <w:p w14:paraId="115FF389" w14:textId="77777777" w:rsidR="00F33B58" w:rsidRPr="004035E0" w:rsidRDefault="00F33B58" w:rsidP="00F33B58">
      <w:pPr>
        <w:spacing w:before="80" w:line="269" w:lineRule="auto"/>
        <w:ind w:firstLine="720"/>
        <w:jc w:val="both"/>
        <w:rPr>
          <w:bCs/>
          <w:spacing w:val="-4"/>
        </w:rPr>
      </w:pPr>
      <w:r w:rsidRPr="004035E0">
        <w:rPr>
          <w:bCs/>
          <w:spacing w:val="-4"/>
        </w:rPr>
        <w:t xml:space="preserve">d) Tác động của thủ tục hành chính </w:t>
      </w:r>
    </w:p>
    <w:p w14:paraId="290E7822" w14:textId="77777777" w:rsidR="00F33B58" w:rsidRPr="004035E0" w:rsidRDefault="00F33B58" w:rsidP="002E638F">
      <w:pPr>
        <w:spacing w:before="60" w:line="276" w:lineRule="auto"/>
        <w:ind w:firstLine="720"/>
        <w:jc w:val="both"/>
        <w:rPr>
          <w:bCs/>
          <w:spacing w:val="-4"/>
        </w:rPr>
      </w:pPr>
      <w:r w:rsidRPr="004035E0">
        <w:rPr>
          <w:bCs/>
          <w:spacing w:val="-4"/>
        </w:rPr>
        <w:t xml:space="preserve">Giải pháp 2 tập trung vào việc luật hóa hệ nguyên tắc nền tảng và xác lập căn cứ, giới hạn áp dụng các biện pháp quản lý, kiểm soát nhằm phòng, chống phổ </w:t>
      </w:r>
      <w:r w:rsidRPr="004035E0">
        <w:rPr>
          <w:bCs/>
          <w:spacing w:val="-4"/>
        </w:rPr>
        <w:lastRenderedPageBreak/>
        <w:t>biến và tài trợ phổ biến WMD; theo đó, giải pháp không đặt ra thủ tục hành chính mới một cách phổ biến, mà chủ yếu chuẩn hóa cơ sở pháp lý cho các quy trình quản lý rủi ro, kiểm soát, phối hợp liên ngành và cung cấp thông tin phục vụ phòng ngừa, phát hiện, ngăn chặn, xử lý hành vi vi phạm.</w:t>
      </w:r>
    </w:p>
    <w:p w14:paraId="2B236E05" w14:textId="77777777" w:rsidR="00F33B58" w:rsidRPr="002E638F" w:rsidRDefault="00F33B58" w:rsidP="002E638F">
      <w:pPr>
        <w:spacing w:before="60" w:line="276" w:lineRule="auto"/>
        <w:ind w:firstLine="720"/>
        <w:jc w:val="both"/>
        <w:rPr>
          <w:bCs/>
        </w:rPr>
      </w:pPr>
      <w:r w:rsidRPr="002E638F">
        <w:rPr>
          <w:bCs/>
        </w:rPr>
        <w:t>Trong quá trình thực hiện, đối với tổ chức, cá nhân hoạt động trong các lĩnh vực có nguy cơ, phát sinh một số yêu cầu về hồ sơ và quy trình tuân thủ như: cung cấp, cập nhật thông tin theo yêu cầu của cơ quan có thẩm quyền; lưu giữ hồ sơ theo thời hạn; thực hiện chế độ báo cáo; sàng lọc, đối chiếu theo danh mục và tiêu chí rủi ro; phối hợp cung cấp thông tin, tài liệu khi có yêu cầu hợp pháp. Các yêu cầu này làm tăng mức độ tuân thủ ở một số nhóm đối tượng, đồng thời góp phần chuẩn hóa thành phần hồ sơ, biểu mẫu, thời hạn và thẩm quyền tiếp nhận, xử lý, qua đó nâng cao tính minh bạch, tính dự liệu và trách nhiệm giải trình trong quản lý nhà nước.</w:t>
      </w:r>
    </w:p>
    <w:p w14:paraId="09407C1A" w14:textId="77777777" w:rsidR="00F33B58" w:rsidRPr="004035E0" w:rsidRDefault="00F33B58" w:rsidP="002E638F">
      <w:pPr>
        <w:spacing w:before="60" w:line="276" w:lineRule="auto"/>
        <w:ind w:firstLine="720"/>
        <w:jc w:val="both"/>
        <w:rPr>
          <w:bCs/>
          <w:spacing w:val="-4"/>
        </w:rPr>
      </w:pPr>
      <w:r w:rsidRPr="004035E0">
        <w:rPr>
          <w:bCs/>
          <w:spacing w:val="-4"/>
        </w:rPr>
        <w:t>Việc quy định thống nhất ở cấp luật về nguyên tắc quản lý rủi ro, cơ chế phối hợp và chế độ thông tin, báo cáo tạo cơ sở để thiết kế thủ tục theo hướng hợp lý, hạn chế chồng chéo, trùng lặp giữa các cơ quan, giảm yêu cầu lặp lại về hồ sơ và báo cáo. Khi triển khai gắn với ứng dụng công nghệ thông tin, quản lý hồ sơ điện tử và chia sẻ dữ liệu theo cơ chế phối hợp, tác động về thủ tục hành chính được kiểm soát tốt hơn, giảm thời gian và chi phí tuân thủ cho tổ chức, cá nhân, đồng thời nâng cao hiệu quả quản lý dựa trên rủi ro.</w:t>
      </w:r>
    </w:p>
    <w:p w14:paraId="09E5B376" w14:textId="77777777" w:rsidR="00F33B58" w:rsidRPr="004035E0" w:rsidRDefault="00F33B58" w:rsidP="002E638F">
      <w:pPr>
        <w:spacing w:before="60" w:line="276" w:lineRule="auto"/>
        <w:ind w:firstLine="720"/>
        <w:jc w:val="both"/>
        <w:rPr>
          <w:spacing w:val="-4"/>
        </w:rPr>
      </w:pPr>
      <w:r w:rsidRPr="004035E0">
        <w:rPr>
          <w:spacing w:val="-4"/>
        </w:rPr>
        <w:t>1.3. Giải pháp tối ưu được lựa chọn và lý do lựa chọn giải pháp</w:t>
      </w:r>
    </w:p>
    <w:p w14:paraId="23E96F68" w14:textId="24227046" w:rsidR="009E1F2C" w:rsidRPr="009E1F2C" w:rsidRDefault="009E1F2C" w:rsidP="002E638F">
      <w:pPr>
        <w:spacing w:before="60" w:line="276" w:lineRule="auto"/>
        <w:ind w:firstLine="720"/>
        <w:jc w:val="both"/>
        <w:rPr>
          <w:bCs/>
          <w:spacing w:val="4"/>
        </w:rPr>
      </w:pPr>
      <w:r w:rsidRPr="00B7675F">
        <w:rPr>
          <w:bCs/>
          <w:color w:val="000000"/>
        </w:rPr>
        <w:t>Trên cơ sở đối chiếu tác động của ha</w:t>
      </w:r>
      <w:r>
        <w:rPr>
          <w:bCs/>
          <w:color w:val="000000"/>
        </w:rPr>
        <w:t>i giải pháp theo các tiêu chí: M</w:t>
      </w:r>
      <w:r w:rsidRPr="00B7675F">
        <w:rPr>
          <w:bCs/>
          <w:color w:val="000000"/>
        </w:rPr>
        <w:t xml:space="preserve">ức độ giải quyết vấn đề, tính hợp hiến, tính thống nhất và đồng bộ của hệ thống pháp luật, hiệu lực quản lý theo rủi ro và tính khả thi tổ chức thực hiện, </w:t>
      </w:r>
      <w:r>
        <w:rPr>
          <w:bCs/>
          <w:color w:val="000000"/>
        </w:rPr>
        <w:t xml:space="preserve">Bộ Quốc phòng </w:t>
      </w:r>
      <w:r w:rsidRPr="00B7675F">
        <w:rPr>
          <w:bCs/>
          <w:color w:val="000000"/>
        </w:rPr>
        <w:t>lựa chọn Giải pháp 2</w:t>
      </w:r>
      <w:r>
        <w:rPr>
          <w:bCs/>
          <w:color w:val="000000"/>
        </w:rPr>
        <w:t xml:space="preserve"> </w:t>
      </w:r>
      <w:r w:rsidRPr="009E1F2C">
        <w:rPr>
          <w:bCs/>
          <w:color w:val="000000"/>
        </w:rPr>
        <w:t>“</w:t>
      </w:r>
      <w:r w:rsidRPr="009E1F2C">
        <w:rPr>
          <w:bCs/>
          <w:spacing w:val="4"/>
        </w:rPr>
        <w:t>Xây dựng, ban hành Luật về phòng, chống phổ biến và tài trợ phổ biến vũ khí hủy diệt hàng loạt để luật hóa hệ thống nguyên tắc nền tảng, xác lập căn cứ và giới hạn áp dụng biện pháp kiểm soát, bảo đảm yêu cầu bảo vệ quyền con người, quyền công dân theo Hiến pháp và điều ước quốc tế liên quan</w:t>
      </w:r>
      <w:r w:rsidRPr="009E1F2C">
        <w:rPr>
          <w:bCs/>
          <w:color w:val="000000"/>
        </w:rPr>
        <w:t>”</w:t>
      </w:r>
      <w:r>
        <w:rPr>
          <w:bCs/>
          <w:color w:val="000000"/>
        </w:rPr>
        <w:t xml:space="preserve"> </w:t>
      </w:r>
      <w:r w:rsidRPr="00B7675F">
        <w:rPr>
          <w:bCs/>
          <w:color w:val="000000"/>
        </w:rPr>
        <w:t xml:space="preserve">là phương án tối ưu. </w:t>
      </w:r>
      <w:r w:rsidRPr="00FF63DD">
        <w:rPr>
          <w:b/>
          <w:bCs/>
          <w:color w:val="000000"/>
        </w:rPr>
        <w:t>Lý do:</w:t>
      </w:r>
    </w:p>
    <w:p w14:paraId="5F10F99A" w14:textId="77777777" w:rsidR="00BF79AE" w:rsidRPr="002E638F" w:rsidRDefault="00F33B58" w:rsidP="002E638F">
      <w:pPr>
        <w:spacing w:before="60" w:line="276" w:lineRule="auto"/>
        <w:ind w:firstLine="720"/>
        <w:jc w:val="both"/>
      </w:pPr>
      <w:r w:rsidRPr="002E638F">
        <w:rPr>
          <w:b/>
          <w:bCs/>
          <w:i/>
          <w:iCs/>
        </w:rPr>
        <w:t>Thứ nhất,</w:t>
      </w:r>
      <w:r w:rsidRPr="002E638F">
        <w:t xml:space="preserve"> tạo căn cứ pháp lý trực tiếp để quy định đầy đủ và thống nhất các nguyên tắc phòng, chống phổ biến và tài trợ phổ biến WMD bằng văn bản luật; đồng thời xác lập rõ thẩm quyền, điều kiện, trình tự, thủ tục, thời hạn và cơ chế chấm dứt đối với các biện pháp kiểm soát có tác động đến quyền, lợi ích hợp pháp của tổ chức, cá nhân. Việc luật hóa cho phép thiết kế các cơ chế bảo đảm quyền</w:t>
      </w:r>
    </w:p>
    <w:p w14:paraId="5F5584F5" w14:textId="0C8ED869" w:rsidR="00F33B58" w:rsidRPr="002E638F" w:rsidRDefault="00F33B58" w:rsidP="002E638F">
      <w:pPr>
        <w:spacing w:before="60" w:line="276" w:lineRule="auto"/>
        <w:ind w:firstLine="720"/>
        <w:jc w:val="both"/>
      </w:pPr>
      <w:r w:rsidRPr="002E638F">
        <w:t xml:space="preserve"> theo Hiến pháp và điều ước quốc tế liên quan (quyền được thông tin trong phạm vi cho phép; quyền giải trình; quyền khiếu nại, tố cáo, khởi kiện; cơ </w:t>
      </w:r>
      <w:r w:rsidRPr="002E638F">
        <w:lastRenderedPageBreak/>
        <w:t>chế giám sát, kiểm tra và trách nhiệm giải trình), từ đó giảm rủi ro áp dụng tùy nghi và tăng khả năng dự liệu của đối tượng chịu tác động.</w:t>
      </w:r>
    </w:p>
    <w:p w14:paraId="6EDA9B8B" w14:textId="77777777" w:rsidR="00F33B58" w:rsidRPr="00086837" w:rsidRDefault="00F33B58" w:rsidP="002E638F">
      <w:pPr>
        <w:spacing w:before="60" w:line="276" w:lineRule="auto"/>
        <w:ind w:firstLine="720"/>
        <w:jc w:val="both"/>
      </w:pPr>
      <w:r w:rsidRPr="004035E0">
        <w:rPr>
          <w:b/>
          <w:bCs/>
          <w:i/>
          <w:iCs/>
          <w:spacing w:val="-4"/>
        </w:rPr>
        <w:t>Thứ hai,</w:t>
      </w:r>
      <w:r w:rsidRPr="004035E0">
        <w:rPr>
          <w:spacing w:val="-4"/>
        </w:rPr>
        <w:t xml:space="preserve"> Giải pháp 2 đáp ứng yêu cầu thực thi cam kết quốc tế và yêu cầu hợp tác, giao dịch tài</w:t>
      </w:r>
      <w:r w:rsidRPr="00086837">
        <w:t xml:space="preserve"> chính - thương mại xuyên biên giới trong bối cảnh các chuẩn mực quốc tế ngày càng chặt chẽ. Theo thông báo của Ngân hàng Nhà nước Việt Nam, ngày 23/01/2026 FATF hoàn tất đánh giá Báo cáo PR6 của Việt Nam; đến tháng 01/2026, Việt Nam còn 14/17 hành động cần tiếp tục thực hiện theo Kế hoạch hành động đã cam kết. Nghiên cứu của Quỹ Tiền tệ Quốc tế (IMF, Working Paper WP/21/153) cho thấy khi một quốc gia bị đưa vào “danh sách xám”, dòng vốn vào nền kinh tế giảm trung bình khoảng 7,6% GDP. Việc ban hành luật với các nguyên tắc và cơ chế kiểm soát rõ ràng về phòng, chống phổ biến và tài trợ phổ biến WMD góp phần củng cố uy tín tuân thủ, hạn chế rủi ro bất lợi trong quan hệ tài chính - thương mại quốc tế.</w:t>
      </w:r>
    </w:p>
    <w:p w14:paraId="538E1CF4" w14:textId="77777777" w:rsidR="00F33B58" w:rsidRPr="00086837" w:rsidRDefault="00F33B58" w:rsidP="002E638F">
      <w:pPr>
        <w:spacing w:before="60" w:line="276" w:lineRule="auto"/>
        <w:ind w:firstLine="720"/>
        <w:jc w:val="both"/>
      </w:pPr>
      <w:r w:rsidRPr="00086837">
        <w:t>Giải pháp 2 đòi hỏi nguồn lực xây dựng luật, rà soát, đồng bộ hóa với các luật chuyên ngành và đầu tư cho tổ chức thực hiện (hướng dẫn, đào tạo, quy trình phối hợp, hạ tầng dữ liệu). Chi phí chuyển đổi tập trung trong giai đoạn đầu và được bù đắp bằng lợi ích tạo khung pháp lý ổn định, lâu dài; tăng hiệu lực, hiệu quả thực thi thống nhất trên phạm vi toàn quốc; nâng cao năng lực phòng ngừa, phát hiện, ngăn chặn và xử lý hành vi vi phạm; đồng thời bảo đảm cân bằng giữa yêu cầu an ninh với quyền, lợi ích hợp pháp của tổ chức, cá nhân.</w:t>
      </w:r>
    </w:p>
    <w:p w14:paraId="32C073D5" w14:textId="77777777" w:rsidR="00F33B58" w:rsidRPr="00086837" w:rsidRDefault="00F33B58" w:rsidP="002E638F">
      <w:pPr>
        <w:spacing w:before="60" w:line="276" w:lineRule="auto"/>
        <w:ind w:firstLine="720"/>
        <w:jc w:val="both"/>
      </w:pPr>
      <w:r w:rsidRPr="00086837">
        <w:rPr>
          <w:b/>
        </w:rPr>
        <w:t xml:space="preserve">2. Chính sách 2: </w:t>
      </w:r>
      <w:r w:rsidRPr="00086837">
        <w:rPr>
          <w:b/>
          <w:bCs/>
        </w:rPr>
        <w:t>Tăng cường biện pháp quản lý, kiểm soát đặc thù các hoạt động có nguy cơ dẫn đến phổ biến vũ khí hủy diệt hàng loạt</w:t>
      </w:r>
    </w:p>
    <w:p w14:paraId="1C2878F7" w14:textId="77777777" w:rsidR="00F33B58" w:rsidRPr="00E600B7" w:rsidRDefault="00F33B58" w:rsidP="002E638F">
      <w:pPr>
        <w:spacing w:before="60" w:line="276" w:lineRule="auto"/>
        <w:ind w:firstLine="720"/>
        <w:jc w:val="both"/>
        <w:rPr>
          <w:bCs/>
        </w:rPr>
      </w:pPr>
      <w:r w:rsidRPr="00E600B7">
        <w:t xml:space="preserve">2.1. </w:t>
      </w:r>
      <w:r w:rsidRPr="00E600B7">
        <w:rPr>
          <w:bCs/>
        </w:rPr>
        <w:t>Xác định vấn đề</w:t>
      </w:r>
    </w:p>
    <w:p w14:paraId="57B55340" w14:textId="77777777" w:rsidR="00F33B58" w:rsidRPr="00E600B7" w:rsidRDefault="00F33B58" w:rsidP="002E638F">
      <w:pPr>
        <w:spacing w:before="60" w:line="276" w:lineRule="auto"/>
        <w:ind w:firstLine="720"/>
        <w:jc w:val="both"/>
        <w:rPr>
          <w:bCs/>
          <w:i/>
        </w:rPr>
      </w:pPr>
      <w:r w:rsidRPr="00E600B7">
        <w:rPr>
          <w:bCs/>
          <w:i/>
        </w:rPr>
        <w:t>2.1.1. Các vấn đề bất cập</w:t>
      </w:r>
    </w:p>
    <w:p w14:paraId="6000D2EA" w14:textId="47AECB11" w:rsidR="00126975" w:rsidRPr="00E600B7" w:rsidRDefault="00126975" w:rsidP="002E638F">
      <w:pPr>
        <w:spacing w:before="60" w:line="276" w:lineRule="auto"/>
        <w:ind w:firstLine="720"/>
        <w:jc w:val="both"/>
      </w:pPr>
      <w:r w:rsidRPr="00E600B7">
        <w:t>-</w:t>
      </w:r>
      <w:r w:rsidRPr="00126975">
        <w:t xml:space="preserve"> </w:t>
      </w:r>
      <w:r w:rsidRPr="00126975">
        <w:rPr>
          <w:b/>
          <w:bCs/>
          <w:i/>
          <w:iCs/>
        </w:rPr>
        <w:t>Một là,</w:t>
      </w:r>
      <w:r w:rsidRPr="00126975">
        <w:t xml:space="preserve"> pháp luật hiện hành chưa thiết lập được hệ thống biện pháp quản lý, kiểm soát đặc thù có tính thống nhất và liên thông đối với các hoạt động có nguy cơ dẫn đến phổ biến </w:t>
      </w:r>
      <w:r w:rsidRPr="00E600B7">
        <w:t>WMD</w:t>
      </w:r>
      <w:r w:rsidR="001136EC">
        <w:t>.</w:t>
      </w:r>
    </w:p>
    <w:p w14:paraId="51EC0654" w14:textId="77777777" w:rsidR="00243B97" w:rsidRPr="00243B97" w:rsidRDefault="00243B97" w:rsidP="002E638F">
      <w:pPr>
        <w:spacing w:before="60" w:line="276" w:lineRule="auto"/>
        <w:ind w:firstLine="720"/>
        <w:jc w:val="both"/>
      </w:pPr>
      <w:r w:rsidRPr="00243B97">
        <w:t>Hệ thống pháp luật hiện hành đã hình thành nhiều công cụ quản lý theo từng lĩnh vực như ngoại thương, hải quan, hóa chất, y tế, năng lượng nguyên tử, khoa học và công nghệ…, tuy nhiên các công cụ này vẫn phân tán và vận hành theo mục tiêu quản lý chuyên ngành; chưa được chuẩn hóa và liên thông bắt buộc theo cách tiếp cận quản lý rủi ro xuyên suốt chuỗi hoạt động có nguy cơ. Vì vậy, khi rủi ro phát sinh ở “vùng giao thoa” giữa các lĩnh vực, việc kiểm soát dễ bị đứt khúc và thiếu thống nhất trong áp dụng.</w:t>
      </w:r>
    </w:p>
    <w:p w14:paraId="66BBB2F5" w14:textId="72E2A70A" w:rsidR="00243B97" w:rsidRPr="00243B97" w:rsidRDefault="00243B97" w:rsidP="002E638F">
      <w:pPr>
        <w:spacing w:before="60" w:line="276" w:lineRule="auto"/>
        <w:ind w:firstLine="720"/>
        <w:jc w:val="both"/>
      </w:pPr>
      <w:r w:rsidRPr="00243B97">
        <w:t xml:space="preserve">Khung điều phối hiện được quy định tại Nghị định số 81/2019/NĐ-CP với phạm vi điều chỉnh gồm “nguyên tắc, chính sách, biện pháp” và trách nhiệm của cơ quan, tổ chức, cá nhân (Điều 1); cơ chế thanh tra, kiểm tra gắn với quản lý rủi </w:t>
      </w:r>
      <w:r w:rsidRPr="00243B97">
        <w:lastRenderedPageBreak/>
        <w:t xml:space="preserve">ro (Điều 7) ở cấp độ nguyên tắc; giao Bộ Quốc phòng phối hợp đánh giá rủi ro quốc gia, triển khai hợp tác quốc tế và nhiệm vụ hoàn thiện văn bản quy phạm pháp luật về cấm phổ biến WMD để thực hiện điều ước quốc tế (Điều 29). Tuy nhiên, </w:t>
      </w:r>
      <w:r w:rsidRPr="00E600B7">
        <w:t>quy định</w:t>
      </w:r>
      <w:r w:rsidRPr="00243B97">
        <w:t xml:space="preserve"> này mang tính điều phối khung nên hệ thống còn thiếu các </w:t>
      </w:r>
      <w:r w:rsidRPr="00243B97">
        <w:rPr>
          <w:spacing w:val="-2"/>
        </w:rPr>
        <w:t>chuẩn vận hành thống nhất như danh mục, tiêu chí rủi ro cấp quốc gia, cơ chế chia sẻ cảnh báo bắt buộc, quy trình phối hợp xử lý theo chuỗi, công cụ kiểm định, giám định và cơ chế hậu kiểm để kiểm soát rủi ro xuyên lĩnh vực. Do vậy, cần thiết lập một chuẩn chung có tính ràng buộc cao hơn để chuyển từ “điều phối khung</w:t>
      </w:r>
      <w:r w:rsidRPr="00243B97">
        <w:t>” sang “cơ chế kiểm soát theo rủi ro” có khả năng triển khai thống nhất.</w:t>
      </w:r>
    </w:p>
    <w:p w14:paraId="49CD572A" w14:textId="77777777" w:rsidR="00243B97" w:rsidRPr="00243B97" w:rsidRDefault="00243B97" w:rsidP="002E638F">
      <w:pPr>
        <w:spacing w:before="60" w:line="276" w:lineRule="auto"/>
        <w:ind w:firstLine="720"/>
        <w:jc w:val="both"/>
      </w:pPr>
      <w:r w:rsidRPr="00243B97">
        <w:t>Cùng với đó, rủi ro phổ biến WMD hình thành theo chuỗi hoạt động xuyên biên giới, trong đó các điểm yếu ở một khâu kéo theo suy giảm hiệu quả kiểm soát của toàn chuỗi; vì vậy, cơ chế kiểm soát phân tán theo ngành và thiếu liên thông thông tin làm xuất hiện “khoảng trống vùng giao thoa” giữa các lĩnh vực, đặt ra yêu cầu phải chuẩn hóa quản lý rủi ro theo chuỗi và thiết kế cơ chế liên thông bắt buộc giữa các khâu “dòng hàng, dòng dịch vụ, dòng tiền”.</w:t>
      </w:r>
    </w:p>
    <w:p w14:paraId="4649D993" w14:textId="1DDCE813" w:rsidR="00126975" w:rsidRPr="00E600B7" w:rsidRDefault="00243B97" w:rsidP="002E638F">
      <w:pPr>
        <w:spacing w:before="60" w:line="276" w:lineRule="auto"/>
        <w:ind w:firstLine="720"/>
        <w:jc w:val="both"/>
      </w:pPr>
      <w:r w:rsidRPr="00243B97">
        <w:t xml:space="preserve">Do khung điều phối hiện chủ yếu ở cấp nghị định nên chưa đủ căn cứ để thiết lập nguyên tắc áp dụng thống nhất và ràng buộc liên thông với luật chuyên ngành; đồng thời nhiều biện pháp kiểm soát tác động trực tiếp đến quyền và lợi ích hợp pháp, trong khi Hiến pháp yêu cầu hạn chế quyền theo quy định của luật. </w:t>
      </w:r>
      <w:r w:rsidRPr="00E600B7">
        <w:t>Yêu cầu đặt ra</w:t>
      </w:r>
      <w:r w:rsidRPr="00243B97">
        <w:t xml:space="preserve"> là cần thiết lập khung điều phối liên ngành đủ mạnh để xác lập nguyên tắc áp dụng thống nhất, cơ chế bảo đảm quyền và trách nhiệm giải trình, qua đó khắc phục phân mảnh ở “vùng giao thoa” giữa các lĩnh vực.</w:t>
      </w:r>
    </w:p>
    <w:p w14:paraId="677B7DC6" w14:textId="77777777" w:rsidR="00126975" w:rsidRPr="00E600B7" w:rsidRDefault="00126975" w:rsidP="002E638F">
      <w:pPr>
        <w:spacing w:before="60" w:line="276" w:lineRule="auto"/>
        <w:ind w:firstLine="720"/>
        <w:jc w:val="both"/>
      </w:pPr>
      <w:r w:rsidRPr="00E600B7">
        <w:t>-</w:t>
      </w:r>
      <w:r w:rsidRPr="00126975">
        <w:t xml:space="preserve"> </w:t>
      </w:r>
      <w:r w:rsidRPr="00126975">
        <w:rPr>
          <w:b/>
          <w:bCs/>
          <w:i/>
          <w:iCs/>
        </w:rPr>
        <w:t>Hai là,</w:t>
      </w:r>
      <w:r w:rsidRPr="00126975">
        <w:t xml:space="preserve"> các biện pháp quản lý, kiểm soát hiện hành chưa bao quát đầy đủ toàn bộ chuỗi hoạt động có nguy cơ, từ nghiên cứu, sản xuất, lưu giữ, vận chuyển, mua bán, xuất khẩu, nhập khẩu, quá cảnh, chuyển khẩu đến sử dụng và giao dịch tài chính liên quan đến hàng hóa, vật liệu, thiết bị, công nghệ và tác nhân nhạy cảm.</w:t>
      </w:r>
    </w:p>
    <w:p w14:paraId="3109644C" w14:textId="77777777" w:rsidR="00536772" w:rsidRPr="00536772" w:rsidRDefault="00536772" w:rsidP="002E638F">
      <w:pPr>
        <w:spacing w:before="60" w:line="276" w:lineRule="auto"/>
        <w:ind w:firstLine="720"/>
        <w:jc w:val="both"/>
      </w:pPr>
      <w:r w:rsidRPr="00536772">
        <w:t>Rủi ro phổ biến WMD không chỉ phát sinh ở khâu biên giới hay lưu thông hàng hóa vật chất mà còn trải dài trên toàn bộ chuỗi hoạt động, từ nghiên cứu, phát triển, sản xuất, lưu giữ, mua bán, vận chuyển, trung chuyển, quá cảnh, chuyển khẩu đến sử dụng cuối, giao dịch tài chính, dịch vụ hỗ trợ và các hình thức chuyển giao phi vật thể. Tuy nhiên, các cơ chế pháp lý hiện hành mới chủ yếu tập trung vào từng công đoạn hoặc từng lĩnh vực quản lý riêng lẻ, chưa hình thành được một cơ chế kiểm soát xuyên chuỗi, thống nhất, bao quát đồng thời “dòng hàng, dòng dịch vụ, dòng công nghệ và dòng tiền”.</w:t>
      </w:r>
    </w:p>
    <w:p w14:paraId="50599857" w14:textId="661CD79D" w:rsidR="00536772" w:rsidRPr="00536772" w:rsidRDefault="00536772" w:rsidP="002E638F">
      <w:pPr>
        <w:spacing w:before="60" w:line="276" w:lineRule="auto"/>
        <w:ind w:firstLine="720"/>
        <w:jc w:val="both"/>
      </w:pPr>
      <w:r w:rsidRPr="00536772">
        <w:t xml:space="preserve">Trong lĩnh vực ngoại thương và hải quan, đây là khâu then chốt trong kiểm soát luồng hàng hóa, công nghệ lưỡng dụng và hoạt động trung chuyển, </w:t>
      </w:r>
      <w:r w:rsidRPr="00536772">
        <w:lastRenderedPageBreak/>
        <w:t xml:space="preserve">quá cảnh. Các đánh giá rủi ro tài trợ phổ biến ghi nhận việc sử dụng cấu trúc pháp nhân phức tạp, công ty bình phong, giao dịch qua nhiều trung gian và nhiều khu vực pháp lý để che giấu nguồn gốc, đích đến và mục đích sử dụng cuối của hàng hóa, thiết bị nhạy cảm, đặt ra yêu cầu cần tăng cường sàng lọc đối tác, thẩm tra người sử dụng cuối, kiểm soát trung chuyển và thiết lập cơ chế chia sẻ cảnh báo rủi ro trong khâu ngoại thương </w:t>
      </w:r>
      <w:r w:rsidR="00E31E26" w:rsidRPr="00E600B7">
        <w:t>-</w:t>
      </w:r>
      <w:r w:rsidRPr="00536772">
        <w:t xml:space="preserve"> hải quan. Theo đánh giá rủi ro tài trợ phổ biến của Bộ Tài chính Mỹ, các mạng lưới như của Triều Tiên đã rửa hơn 2,5 tỷ USD qua hơn 250 công ty bình phong ở Trung Quốc, Áo và Nga để mua hàng hóa liên quan đến WMD; Iran cũng sử dụng hơn 70 công ty bình phong ở UAE và Canada để che giấu các giao dịch dầu mỏ trị giá hơn 300 triệu USD phục vụ chương trình tên lửa đạn đạo</w:t>
      </w:r>
      <w:r w:rsidR="00E31E26" w:rsidRPr="00E600B7">
        <w:rPr>
          <w:rStyle w:val="FootnoteReference"/>
        </w:rPr>
        <w:footnoteReference w:id="47"/>
      </w:r>
      <w:r w:rsidRPr="00536772">
        <w:t xml:space="preserve">. </w:t>
      </w:r>
      <w:r w:rsidR="00E31E26" w:rsidRPr="00E600B7">
        <w:t>T</w:t>
      </w:r>
      <w:r w:rsidRPr="00536772">
        <w:t>hực tiễn này cho thấy nếu cơ chế kiểm soát chỉ dừng ở hàng hóa hữu hình thì chưa đủ để xử lý chuỗi rủi ro thực tế.</w:t>
      </w:r>
    </w:p>
    <w:p w14:paraId="52AD3D3D" w14:textId="4B2F1D32" w:rsidR="00536772" w:rsidRPr="00E600B7" w:rsidRDefault="00536772" w:rsidP="002E638F">
      <w:pPr>
        <w:spacing w:before="60" w:line="276" w:lineRule="auto"/>
        <w:ind w:firstLine="720"/>
        <w:jc w:val="both"/>
      </w:pPr>
      <w:r w:rsidRPr="00536772">
        <w:t>Trong lĩnh vực thương mại chiến lược và hàng hóa lưỡng dụng, Nghị định số 259/2025/NĐ-CP đã thiết kế cơ chế cấp phép và cơ chế kiểm soát theo nghi ngờ về đích sử dụng, đối tượng sử dụng cuối, đồng thời khuyến khích Chương trình tuân thủ nội bộ (ICP) với các cấu phần như cam kết trách nhiệm, rà soát người sử dụng cuối, đào tạo, lưu trữ hồ sơ, nghĩa vụ thông báo…; nghĩa vụ của thương nhân gồm tuân thủ quy định, thông báo khi phát hiện hoặc nghi ngờ hàng hóa được sử dụng cho mục đích phổ biến WMD, lưu giữ và cung cấp tài liệu khi kiểm tra; hồ sơ cấp phép yêu cầu cam kết của người nhập khẩu, người sử dụng cuối. Tuy nhiên, nghị định này vẫn tập trung mạnh vào khâu biên giới và dòng hàng hóa vật chất, trong khi rủi ro theo chuỗi còn bao gồm cả khâu nội địa, chuyển giao phi vật thể, dịch vụ kỹ thuật và tài trợ phổ biến. Vì vậy, cần một khung chuẩn chung để bao phủ toàn bộ chuỗi rủi ro này.</w:t>
      </w:r>
    </w:p>
    <w:p w14:paraId="656160EC" w14:textId="77777777" w:rsidR="00126975" w:rsidRPr="00E600B7" w:rsidRDefault="00126975" w:rsidP="002E638F">
      <w:pPr>
        <w:spacing w:before="60" w:line="276" w:lineRule="auto"/>
        <w:ind w:firstLine="720"/>
        <w:jc w:val="both"/>
      </w:pPr>
      <w:r w:rsidRPr="00E600B7">
        <w:rPr>
          <w:b/>
          <w:bCs/>
          <w:i/>
          <w:iCs/>
        </w:rPr>
        <w:t>-</w:t>
      </w:r>
      <w:r w:rsidRPr="00126975">
        <w:rPr>
          <w:b/>
          <w:bCs/>
          <w:i/>
          <w:iCs/>
        </w:rPr>
        <w:t xml:space="preserve"> Ba là,</w:t>
      </w:r>
      <w:r w:rsidRPr="00126975">
        <w:t xml:space="preserve"> các biện pháp quản lý, kiểm soát chưa được thiết kế trên cơ sở phân loại và đánh giá mức độ rủi ro hóa học, sinh học, phóng xạ và hạt nhân, nên chưa bảo đảm việc áp dụng biện pháp quản lý tương xứng với tính chất, mức độ nguy hiểm của từng đối tượng, hoạt động và giao dịch. </w:t>
      </w:r>
    </w:p>
    <w:p w14:paraId="1D2E5D66" w14:textId="77777777" w:rsidR="00E31E26" w:rsidRPr="00E31E26" w:rsidRDefault="00E31E26" w:rsidP="002E638F">
      <w:pPr>
        <w:spacing w:before="60" w:line="276" w:lineRule="auto"/>
        <w:ind w:firstLine="720"/>
        <w:jc w:val="both"/>
      </w:pPr>
      <w:r w:rsidRPr="00E31E26">
        <w:t xml:space="preserve">Pháp luật hiện hành mới dừng ở việc xác lập các biện pháp quản lý theo từng lĩnh vực hoặc theo danh mục quản lý chuyên ngành, nhưng chưa hình thành hệ thống tiêu chí, chỉ báo và phương pháp đánh giá rủi ro thống nhất đối với từng nhóm nguy cơ hóa học, sinh học, phóng xạ và hạt nhân. Do chưa có cơ chế phân loại rủi ro đủ rõ, việc áp dụng biện pháp kiểm soát còn thiếu cơ sở để phân tầng đối tượng, phân nhóm hoạt động, xác định mức độ giám sát, hậu kiểm hoặc can thiệp phù hợp với tính chất và mức độ nguy hiểm của từng trường hợp. Điều đó dẫn đến tình trạng có nơi áp dụng biện pháp quản lý dàn đều, thiếu </w:t>
      </w:r>
      <w:r w:rsidRPr="00E31E26">
        <w:lastRenderedPageBreak/>
        <w:t>trọng tâm; có nơi lại chưa đủ công cụ để nhận diện và xử lý sớm đối với đối tượng, hoạt động, giao dịch rủi ro cao.</w:t>
      </w:r>
    </w:p>
    <w:p w14:paraId="16C1CA2E" w14:textId="77777777" w:rsidR="00E31E26" w:rsidRPr="00E31E26" w:rsidRDefault="00E31E26" w:rsidP="002E638F">
      <w:pPr>
        <w:spacing w:before="60" w:line="276" w:lineRule="auto"/>
        <w:ind w:firstLine="720"/>
        <w:jc w:val="both"/>
      </w:pPr>
      <w:r w:rsidRPr="00E31E26">
        <w:t>Trong lĩnh vực hóa chất và khoa học công nghệ, hóa chất lưỡng dụng và tiến bộ công nghệ như phương tiện không người lái, trí tuệ nhân tạo, công nghệ sinh học… làm gia tăng rủi ro bị lạm dụng cho mục đích phi hòa bình; rủi ro không chỉ nằm ở “hàng hóa, vật chất” mà lan sang “nội dung kỹ thuật và dịch vụ hỗ trợ”. Điều này đặt ra yêu cầu khung kiểm soát theo rủi ro phải mở rộng đối tượng quản lý từ vật chất, hàng hóa sang cả chuyển giao tri thức, dữ liệu kỹ thuật và dịch vụ kỹ thuật nhạy cảm.</w:t>
      </w:r>
    </w:p>
    <w:p w14:paraId="2375FC10" w14:textId="77777777" w:rsidR="00E31E26" w:rsidRPr="00E31E26" w:rsidRDefault="00E31E26" w:rsidP="002E638F">
      <w:pPr>
        <w:spacing w:before="60" w:line="276" w:lineRule="auto"/>
        <w:ind w:firstLine="720"/>
        <w:jc w:val="both"/>
      </w:pPr>
      <w:r w:rsidRPr="00E31E26">
        <w:t>Trong lĩnh vực y tế và sinh học, rủi ro lan sang lĩnh vực y tế khi tác nhân gây bệnh hoặc độc tố bị sử dụng sai mục đích; các tình huống khẩn cấp y tế và áp lực tiếp cận nhanh vật tư, thiết bị làm gia tăng yêu cầu quản trị rủi ro đối với tiếp cận, lưu giữ, vận chuyển và sử dụng tác nhân sinh học. Điều này đặt ra yêu cầu cần bổ sung các yêu cầu an ninh sinh học tối thiểu theo chuỗi kiểm soát và cơ chế cảnh báo sớm liên ngành để bảo vệ an ninh sức khỏe cộng đồng.</w:t>
      </w:r>
    </w:p>
    <w:p w14:paraId="0053B1E1" w14:textId="77777777" w:rsidR="00E31E26" w:rsidRPr="00E31E26" w:rsidRDefault="00E31E26" w:rsidP="002E638F">
      <w:pPr>
        <w:spacing w:before="60" w:line="276" w:lineRule="auto"/>
        <w:ind w:firstLine="720"/>
        <w:jc w:val="both"/>
      </w:pPr>
      <w:r w:rsidRPr="00E31E26">
        <w:t>Trong lĩnh vực năng lượng nguyên tử, rủi ro liên quan đến vật liệu phóng xạ, hạt nhân và công nghệ hạt nhân gắn với an ninh cơ sở và an ninh mạng của hệ thống kỹ thuật, làm tăng yêu cầu kiểm soát tiếp cận và bảo đảm an ninh thông tin trong quản trị rủi ro. Điều này đặt ra yêu cầu cần lồng ghép kiểm soát tiếp cận và yêu cầu an ninh thông tin vào cơ chế phòng, chống phổ biến WMD theo cách tiếp cận dựa trên rủi ro.</w:t>
      </w:r>
    </w:p>
    <w:p w14:paraId="67EB02ED" w14:textId="79E7F950" w:rsidR="00E31E26" w:rsidRPr="00E600B7" w:rsidRDefault="00E31E26" w:rsidP="002E638F">
      <w:pPr>
        <w:spacing w:before="60" w:line="276" w:lineRule="auto"/>
        <w:ind w:firstLine="720"/>
        <w:jc w:val="both"/>
      </w:pPr>
      <w:r w:rsidRPr="00E600B7">
        <w:t>Như vậy, bất cập hiện nay không chỉ dừng lại ở việc thiếu các biện pháp quản lý, kiểm soát đặc thù, mà còn thể hiện ở chỗ chưa xây dựng được cơ chế kiểm soát dựa trên mức độ rủi ro về hóa học, sinh học, phóng xạ và hạt nhân; do đó, các biện pháp hiện hành chưa bảo đảm tính tương xứng với tính chất và mức độ nguy hiểm của từng đối tượng, hoạt động và giao dịch.</w:t>
      </w:r>
    </w:p>
    <w:p w14:paraId="27C0F0C5" w14:textId="77777777" w:rsidR="00126975" w:rsidRPr="00E600B7" w:rsidRDefault="00126975" w:rsidP="002E638F">
      <w:pPr>
        <w:spacing w:before="60" w:line="276" w:lineRule="auto"/>
        <w:ind w:firstLine="720"/>
        <w:jc w:val="both"/>
      </w:pPr>
      <w:r w:rsidRPr="00E600B7">
        <w:rPr>
          <w:b/>
          <w:bCs/>
          <w:i/>
          <w:iCs/>
        </w:rPr>
        <w:t>-</w:t>
      </w:r>
      <w:r w:rsidRPr="00126975">
        <w:rPr>
          <w:b/>
          <w:bCs/>
          <w:i/>
          <w:iCs/>
        </w:rPr>
        <w:t xml:space="preserve"> Bốn là,</w:t>
      </w:r>
      <w:r w:rsidRPr="00126975">
        <w:t xml:space="preserve"> một số lĩnh vực còn thiếu biện pháp kiểm soát đặc thù đủ toàn diện và đủ chiều sâu đối với các hoạt động có nguy cơ cao. </w:t>
      </w:r>
    </w:p>
    <w:p w14:paraId="49F800C9" w14:textId="30AB8A65" w:rsidR="00E600B7" w:rsidRPr="00E600B7" w:rsidRDefault="00E600B7" w:rsidP="002E638F">
      <w:pPr>
        <w:spacing w:before="60" w:line="276" w:lineRule="auto"/>
        <w:ind w:firstLine="720"/>
        <w:jc w:val="both"/>
      </w:pPr>
      <w:r w:rsidRPr="00E600B7">
        <w:t xml:space="preserve">Trong lĩnh vực hóa chất, khuôn khổ pháp luật hiện hành, bao gồm Luật Hóa chất và Nghị định số 33/2024/NĐ-CP quy định về thực hiện Công ước Cấm phát triển, sản xuất, tàng trữ, sử dụng vũ khí hóa học và về tiêu hủy vũ khí hóa học, chủ yếu được xây dựng trên cơ sở các Bảng hóa chất của Công ước. Tuy nhiên, nguy cơ phổ biến WMD không chỉ phát sinh từ các hóa chất thuộc Bảng, mà còn có thể xuất hiện từ nhiều hóa chất, thiết bị, quy trình công nghệ ngoài Bảng, đặc biệt khi các yếu tố này gắn với chuỗi cung ứng, chuyển giao kỹ thuật và đích sử dụng cuối cùng. Trong khi đó, cơ chế kiểm soát dựa trên dấu hiệu nghi ngờ về mục đích sử dụng cuối cùng chưa được tích hợp chặt chẽ với cơ chế </w:t>
      </w:r>
      <w:r w:rsidRPr="00E600B7">
        <w:lastRenderedPageBreak/>
        <w:t>quản lý hóa chất hiện hành. Thực trạng này đặt ra yêu cầu phải hoàn thiện cơ chế kiểm soát thống nhất giữa quản lý hóa chất theo Bảng, quản lý hàng hóa lưỡng dụng, hàng hóa chiến lược, quản lý theo danh mục và quản lý theo dấu hiệu nghi ngờ, nhằm khắc phục tình trạng phân tán theo lĩnh vực và theo cơ quan đầu mối.</w:t>
      </w:r>
    </w:p>
    <w:p w14:paraId="4A430A64" w14:textId="77777777" w:rsidR="00E600B7" w:rsidRPr="00E600B7" w:rsidRDefault="00E600B7" w:rsidP="002E638F">
      <w:pPr>
        <w:spacing w:before="60" w:line="276" w:lineRule="auto"/>
        <w:ind w:firstLine="720"/>
        <w:jc w:val="both"/>
      </w:pPr>
      <w:r w:rsidRPr="00E600B7">
        <w:t>Trong lĩnh vực sinh học, Nghị định số 103/2016/NĐ-CP về bảo đảm an toàn sinh học tại phòng xét nghiệm chủ yếu tiếp cận theo hướng phòng ngừa sự cố, bảo đảm an toàn trong quá trình thao tác, bảo quản và xử lý mẫu bệnh phẩm, vi sinh vật gây bệnh truyền nhiễm, trong khi các yêu cầu về an ninh sinh học chưa được thể chế hóa đầy đủ. Hệ thống pháp luật hiện hành còn thiếu các cấu phần kiểm soát cần thiết như kiểm soát tiếp cận đối với tác nhân sinh học nhạy cảm, kiểm soát kiểm kê và điều chuyển theo chuỗi, nghĩa vụ báo cáo các dấu hiệu bất thường và tiêu chí kiểm soát thống nhất theo mức độ rủi ro. Vì vậy, cần bổ sung các cấu phần tối thiểu về an ninh sinh học trong hệ thống phòng, chống phổ biến vũ khí hủy diệt hàng loạt, bao gồm kiểm soát tiếp cận, kiểm kê, điều chuyển, báo cáo và chế tài xử lý vi phạm.</w:t>
      </w:r>
    </w:p>
    <w:p w14:paraId="08F28356" w14:textId="77777777" w:rsidR="00E600B7" w:rsidRPr="00E600B7" w:rsidRDefault="00E600B7" w:rsidP="002E638F">
      <w:pPr>
        <w:spacing w:before="60" w:line="276" w:lineRule="auto"/>
        <w:ind w:firstLine="720"/>
        <w:jc w:val="both"/>
      </w:pPr>
      <w:r w:rsidRPr="00E600B7">
        <w:t>Trong lĩnh vực kiểm soát tác nhân, vật liệu, công nghệ và phương tiện phát tán, một số nội dung của Nghị định số 81/2019/NĐ-CP vẫn được thiết kế theo hướng dẫn chiếu sang pháp luật có liên quan, trong khi pháp luật chuyên ngành hiện hành chủ yếu được xây dựng theo mục tiêu an toàn, an ninh của từng ngành, chưa hình thành được một khuôn khổ kiểm soát thống nhất theo mục tiêu chống phổ biến vũ khí hủy diệt hàng loạt. Hạn chế này thể hiện rõ, nhất là đối với hoạt động chuyển giao công nghệ, chuyển giao thiết kế, cung cấp dịch vụ kỹ thuật và chuyển giao phi vật thể. Do đó, cần thiết lập danh mục quốc gia về đối tượng kiểm soát, đồng thời xây dựng cơ chế cấp phép, đăng ký, kiểm tra tuân thủ theo cấp độ nguy cơ; kèm theo đó là các yêu cầu bảo vệ an ninh đối với cơ sở, nhân sự, kho lưu giữ, hoạt động vận chuyển và cơ chế kiểm soát đối với chuyển giao phi vật thể.</w:t>
      </w:r>
    </w:p>
    <w:p w14:paraId="5AA52806" w14:textId="77777777" w:rsidR="00E600B7" w:rsidRPr="00E600B7" w:rsidRDefault="00E600B7" w:rsidP="002E638F">
      <w:pPr>
        <w:spacing w:before="60" w:line="276" w:lineRule="auto"/>
        <w:ind w:firstLine="720"/>
        <w:jc w:val="both"/>
      </w:pPr>
      <w:r w:rsidRPr="00E600B7">
        <w:t>Trong lĩnh vực an toàn thực phẩm, dược phẩm, mỹ phẩm và nông nghiệp, yêu cầu phát hiện, ngăn chặn và xử lý hành vi vi phạm hiện chưa gắn với cơ chế quản lý rủi ro cụ thể đối với các đối tượng có khả năng bị lợi dụng phục vụ phổ biến vũ khí hủy diệt hàng loạt. Pháp luật hiện hành còn thiếu danh mục quốc gia và tiêu chí nhận diện đối tượng nhạy cảm; đồng thời chưa thiết lập đầy đủ cơ chế kiểm kê, truy xuất và báo cáo bắt buộc theo mức độ nguy cơ. Thực trạng này đặt ra yêu cầu phải xây dựng cơ chế quản lý theo vòng đời đối với các đối tượng có nguy cơ, từ đăng ký, mua bán, điều chuyển, lưu giữ, sử dụng, tiêu hủy đến báo cáo sự cố, thay vì chỉ dừng lại ở việc xử lý sau khi hành vi vi phạm hoặc sự cố đã được phát hiện.</w:t>
      </w:r>
    </w:p>
    <w:p w14:paraId="3C37FE8E" w14:textId="1D3DC303" w:rsidR="00126975" w:rsidRPr="00220742" w:rsidRDefault="00126975" w:rsidP="002E638F">
      <w:pPr>
        <w:spacing w:before="60" w:line="276" w:lineRule="auto"/>
        <w:ind w:firstLine="720"/>
        <w:jc w:val="both"/>
      </w:pPr>
      <w:r w:rsidRPr="00220742">
        <w:rPr>
          <w:b/>
          <w:bCs/>
          <w:i/>
          <w:iCs/>
        </w:rPr>
        <w:lastRenderedPageBreak/>
        <w:t>-</w:t>
      </w:r>
      <w:r w:rsidRPr="00126975">
        <w:rPr>
          <w:b/>
          <w:bCs/>
          <w:i/>
          <w:iCs/>
        </w:rPr>
        <w:t xml:space="preserve"> Năm là,</w:t>
      </w:r>
      <w:r w:rsidRPr="00126975">
        <w:t xml:space="preserve"> hiệu lực thực thi của các biện pháp quản lý, kiểm soát hiện hành còn hạn chế, nhất là ở các khâu hậu kiểm, giám sát sau cấp phép, kết nối dữ liệu, chia sẻ thông tin và cảnh báo sớm giữa các cơ quan có liên quan. </w:t>
      </w:r>
    </w:p>
    <w:p w14:paraId="292A97E9" w14:textId="77777777" w:rsidR="00220742" w:rsidRPr="00220742" w:rsidRDefault="00220742" w:rsidP="002E638F">
      <w:pPr>
        <w:spacing w:before="60" w:line="276" w:lineRule="auto"/>
        <w:ind w:firstLine="720"/>
        <w:jc w:val="both"/>
      </w:pPr>
      <w:r w:rsidRPr="00220742">
        <w:t>Mặc dù pháp luật hiện hành đã giao trách nhiệm cho nhiều cơ quan trong kiểm tra, thanh tra, giám sát và phối hợp thực hiện, nhưng cơ chế hậu kiểm, giám sát sau cấp phép và theo dõi tuân thủ trong toàn bộ vòng đời của đối tượng có nguy cơ vẫn chưa được thiết kế đầy đủ và đồng bộ. Hệ thống dữ liệu phục vụ nhận diện rủi ro, cảnh báo sớm và xử lý vụ việc còn phân tán theo từng ngành, chưa có cơ chế kết nối, chia sẻ và sử dụng chung một cách hiệu quả.</w:t>
      </w:r>
    </w:p>
    <w:p w14:paraId="621296DD" w14:textId="69DB43D2" w:rsidR="00220742" w:rsidRPr="00220742" w:rsidRDefault="00220742" w:rsidP="002E638F">
      <w:pPr>
        <w:spacing w:before="60" w:line="276" w:lineRule="auto"/>
        <w:ind w:firstLine="720"/>
        <w:jc w:val="both"/>
      </w:pPr>
      <w:r w:rsidRPr="00220742">
        <w:t>Trong lĩnh vực kiểm soát khu vực biên giới và trên biển, Nghị định số 81/2019/NĐ-CP đặt ra yêu cầu kiểm soát chặt chẽ và phối hợp liên ngành để phát hiện, ngăn chặn hành vi lợi dụng nhằm phổ biến WMD. Tuy nhiên, các quy định chủ yếu vẫn dừng ở nguyên tắc, chưa cụ thể hóa thành quy trình thực thi dựa trên rủi ro như bộ chỉ báo rủi ro, quy trình phối hợp xử lý đối tượng hoặc lô hàng nghi ngờ, cơ chế kiểm định, giám định và tiêu chí chuyển xử lý. Vì vậy, hiệu quả triển khai dễ thiếu thống nhất giữa các địa bàn và giữa các lực lượng thực thi. Đồng thời, Luật Hải quan năm 2014 (sửa đổi, bổ sung năm 2018) chủ yếu thiết kế cơ chế kiểm tra, giám sát theo logic quản lý hải quan chung như thuế, chống buôn lậu, gian lận thương mại và phối hợp liên lực lượng, nhưng chưa định danh rõ một cơ chế kiểm soát chuyên biệt dựa trên rủi ro phổ biến WMD như chuẩn phân loại</w:t>
      </w:r>
      <w:r>
        <w:t>,</w:t>
      </w:r>
      <w:r w:rsidRPr="00220742">
        <w:t xml:space="preserve"> ưu tiên rủi ro, cơ chế cảnh báo theo đầu mối chuyên đề, quy trình kiểm tra chuyên sâu theo nhóm đối tượng, hàng hóa, tuyến đường nhạy cảm.</w:t>
      </w:r>
    </w:p>
    <w:p w14:paraId="7E329896" w14:textId="77777777" w:rsidR="00220742" w:rsidRPr="00220742" w:rsidRDefault="00220742" w:rsidP="002E638F">
      <w:pPr>
        <w:spacing w:before="60" w:line="276" w:lineRule="auto"/>
        <w:ind w:firstLine="720"/>
        <w:jc w:val="both"/>
      </w:pPr>
      <w:r w:rsidRPr="00220742">
        <w:t>Theo số liệu từ Tổng cục Hải quan Việt Nam, trong 9 tháng đầu năm 2025, cơ quan này phát hiện 13.328 vụ vi phạm hải quan với trị giá hàng hóa khoảng 17.695 tỷ đồng, khởi tố 15 vụ và chuyển khởi tố 93 vụ; năm 2024 phát hiện 12.949 vụ với trị giá khoảng 23.757 tỷ đồng. Tuy nhiên, phần lớn các vụ việc này liên quan đến gian lận thương mại chung, chưa phản ánh rõ cơ chế phân loại và ưu tiên rủi ro phổ biến WMD, cho thấy tình trạng “thẩm quyền kiểm soát” đã tồn tại nhưng “chuẩn kiểm soát theo rủi ro phổ biến” vẫn chưa được thiết lập đầy đủ để bảo đảm thực thi thống nhất.</w:t>
      </w:r>
    </w:p>
    <w:p w14:paraId="5032D4CD" w14:textId="77777777" w:rsidR="00F33B58" w:rsidRPr="00086837" w:rsidRDefault="00F33B58" w:rsidP="002E638F">
      <w:pPr>
        <w:spacing w:before="60" w:line="276" w:lineRule="auto"/>
        <w:ind w:firstLine="720"/>
        <w:jc w:val="both"/>
        <w:rPr>
          <w:i/>
          <w:iCs/>
        </w:rPr>
      </w:pPr>
      <w:r w:rsidRPr="00086837">
        <w:rPr>
          <w:i/>
          <w:iCs/>
        </w:rPr>
        <w:t>2.1.2. Nguyên nhân của những bất cập</w:t>
      </w:r>
    </w:p>
    <w:p w14:paraId="34AD3163" w14:textId="7B4699DB" w:rsidR="001136EC" w:rsidRPr="001136EC" w:rsidRDefault="001136EC" w:rsidP="002E638F">
      <w:pPr>
        <w:widowControl w:val="0"/>
        <w:spacing w:before="60" w:line="276" w:lineRule="auto"/>
        <w:ind w:firstLine="709"/>
        <w:jc w:val="both"/>
      </w:pPr>
      <w:r w:rsidRPr="001136EC">
        <w:rPr>
          <w:b/>
          <w:bCs/>
          <w:i/>
          <w:iCs/>
        </w:rPr>
        <w:t>Thứ nhất,</w:t>
      </w:r>
      <w:r w:rsidRPr="001136EC">
        <w:t xml:space="preserve"> hệ thống pháp luật hiện hành được xây dựng chủ yếu theo hướng quản lý chuyên ngành, phân tán theo từng lĩnh vực, nên chưa hình thành được một cơ chế quản lý, kiểm soát thống nhất và liên thông đối với nguy cơ phổ biến </w:t>
      </w:r>
      <w:r>
        <w:t>WMD</w:t>
      </w:r>
      <w:r w:rsidRPr="001136EC">
        <w:t xml:space="preserve">. Các quy định hiện có chủ yếu phục vụ mục tiêu quản lý riêng của từng lĩnh vực như ngoại thương, hải quan, hóa chất, y tế, sinh học, năng </w:t>
      </w:r>
      <w:r w:rsidRPr="001136EC">
        <w:lastRenderedPageBreak/>
        <w:t xml:space="preserve">lượng nguyên tử, khoa học và công nghệ, tài chính, ngân hàng; vì vậy, tuy đã có nhiều công cụ kiểm soát, nhưng các công cụ này vẫn vận hành theo logic quản lý ngành, chưa được chuẩn hóa và kết nối thành một cơ chế kiểm soát chung đối với rủi ro phổ biến </w:t>
      </w:r>
      <w:r>
        <w:t>WMD</w:t>
      </w:r>
      <w:r w:rsidRPr="001136EC">
        <w:t>.</w:t>
      </w:r>
    </w:p>
    <w:p w14:paraId="734C73F6" w14:textId="77777777" w:rsidR="001136EC" w:rsidRPr="001136EC" w:rsidRDefault="001136EC" w:rsidP="002E638F">
      <w:pPr>
        <w:widowControl w:val="0"/>
        <w:spacing w:before="60" w:line="276" w:lineRule="auto"/>
        <w:ind w:firstLine="709"/>
        <w:jc w:val="both"/>
      </w:pPr>
      <w:r w:rsidRPr="001136EC">
        <w:rPr>
          <w:b/>
          <w:bCs/>
          <w:i/>
          <w:iCs/>
        </w:rPr>
        <w:t>Thứ hai,</w:t>
      </w:r>
      <w:r w:rsidRPr="001136EC">
        <w:t xml:space="preserve"> khung điều phối hiện hành mới dừng ở phân công trách nhiệm và phối hợp giữa các cơ quan, chưa thiết lập đầy đủ các công cụ vận hành bắt buộc để kiểm soát rủi ro theo chuỗi. Nghị định số 81/2019/NĐ-CP đã bước đầu xác lập cơ chế điều phối chung, nhưng chủ yếu ở cấp độ nguyên tắc và phân công đầu mối theo chức năng quản lý; chưa có đầy đủ danh mục, tiêu chí rủi ro cấp quốc gia, cơ chế chia sẻ dữ liệu và cảnh báo bắt buộc, quy trình phối hợp xử lý theo chuỗi, công cụ kiểm định, giám định, hậu kiểm và giám sát sau cấp phép để kiểm soát đồng bộ các nguy cơ liên ngành, xuyên lĩnh vực.</w:t>
      </w:r>
    </w:p>
    <w:p w14:paraId="57098BC4" w14:textId="09E8856B" w:rsidR="001136EC" w:rsidRPr="001136EC" w:rsidRDefault="001136EC" w:rsidP="002E638F">
      <w:pPr>
        <w:widowControl w:val="0"/>
        <w:spacing w:before="60" w:line="276" w:lineRule="auto"/>
        <w:ind w:firstLine="709"/>
        <w:jc w:val="both"/>
      </w:pPr>
      <w:r w:rsidRPr="001136EC">
        <w:rPr>
          <w:b/>
          <w:bCs/>
          <w:i/>
          <w:iCs/>
        </w:rPr>
        <w:t>Thứ ba,</w:t>
      </w:r>
      <w:r w:rsidRPr="001136EC">
        <w:t xml:space="preserve"> pháp luật hiện hành chưa tiếp cận đầy đủ rủi ro phổ biến </w:t>
      </w:r>
      <w:r>
        <w:t>WMD</w:t>
      </w:r>
      <w:r w:rsidRPr="001136EC">
        <w:t xml:space="preserve"> theo toàn bộ chuỗi hoạt động và theo đặc điểm xuyên biên giới, phi vật thể, công nghệ cao của rủi ro hiện đại. Nhiều quy định hiện vẫn tập trung mạnh vào hàng hóa vật chất, khâu biên giới hoặc từng giao dịch riêng lẻ, trong khi rủi ro phổ biến </w:t>
      </w:r>
      <w:r w:rsidR="008F3BFE">
        <w:t>WMD</w:t>
      </w:r>
      <w:r w:rsidRPr="001136EC">
        <w:t xml:space="preserve"> đã mở rộng sang chuyển giao công nghệ, dữ liệu kỹ thuật, dịch vụ kỹ thuật, hoạt động nghiên cứu, đào tạo, hỗ trợ hậu cần, sử dụng cuối và tài trợ phổ biến; do đó, cơ chế kiểm soát hiện hành chưa bao quát đầy đủ cả dòng hàng, dòng dịch vụ, dòng công nghệ và dòng tiền.</w:t>
      </w:r>
    </w:p>
    <w:p w14:paraId="2443D185" w14:textId="2A88BA35" w:rsidR="001136EC" w:rsidRPr="001136EC" w:rsidRDefault="001136EC" w:rsidP="002E638F">
      <w:pPr>
        <w:widowControl w:val="0"/>
        <w:spacing w:before="60" w:line="276" w:lineRule="auto"/>
        <w:ind w:firstLine="709"/>
        <w:jc w:val="both"/>
      </w:pPr>
      <w:r w:rsidRPr="001136EC">
        <w:rPr>
          <w:b/>
          <w:bCs/>
          <w:i/>
          <w:iCs/>
        </w:rPr>
        <w:t>Thứ tư,</w:t>
      </w:r>
      <w:r w:rsidRPr="001136EC">
        <w:t xml:space="preserve"> chưa hình thành cơ chế phân loại và đánh giá rủi ro </w:t>
      </w:r>
      <w:r w:rsidR="008F3BFE" w:rsidRPr="008F3BFE">
        <w:t xml:space="preserve">về hóa học, sinh học, phóng xạ và hạt nhân </w:t>
      </w:r>
      <w:r w:rsidRPr="001136EC">
        <w:t xml:space="preserve">thống nhất, cũng như chưa có đủ biện pháp kiểm soát đặc thù đối với các lĩnh vực và đối tượng có nguy cơ cao. Các quy định hiện hành mới chủ yếu quản lý theo danh mục hoặc theo lĩnh vực, chưa xây dựng được hệ thống tiêu chí, chỉ báo và phương pháp đánh giá rủi ro chung đối với từng nhóm nguy cơ hóa học, sinh học, phóng xạ và hạt nhân; đồng thời, trong các lĩnh vực như hóa chất, sinh học, hàng hóa lưỡng dụng, chuyển giao công nghệ, dữ liệu kỹ thuật, sử dụng cuối, đối tượng sử dụng cuối và tài trợ phổ biến, pháp luật hiện hành vẫn còn thiên về quản lý an toàn, quản lý chuyên ngành hoặc quản lý thương mại, chưa tích hợp đầy đủ yêu cầu kiểm soát đặc thù theo mục tiêu chống phổ biến </w:t>
      </w:r>
      <w:r w:rsidR="008F3BFE">
        <w:t>WMD</w:t>
      </w:r>
      <w:r w:rsidRPr="001136EC">
        <w:t>.</w:t>
      </w:r>
    </w:p>
    <w:p w14:paraId="58C9A3B2" w14:textId="0A1016F0" w:rsidR="001136EC" w:rsidRDefault="001136EC" w:rsidP="002E638F">
      <w:pPr>
        <w:widowControl w:val="0"/>
        <w:spacing w:before="60" w:line="276" w:lineRule="auto"/>
        <w:ind w:firstLine="709"/>
        <w:jc w:val="both"/>
      </w:pPr>
      <w:r w:rsidRPr="001136EC">
        <w:rPr>
          <w:b/>
          <w:bCs/>
          <w:i/>
          <w:iCs/>
        </w:rPr>
        <w:t>Thứ năm,</w:t>
      </w:r>
      <w:r w:rsidRPr="001136EC">
        <w:t xml:space="preserve"> điều kiện bảo đảm thực thi và năng lực quản lý, kiểm soát rủi ro phổ biến </w:t>
      </w:r>
      <w:r w:rsidR="008F3BFE">
        <w:t>WMD</w:t>
      </w:r>
      <w:r w:rsidRPr="001136EC">
        <w:t xml:space="preserve"> chưa đáp ứng đầy đủ yêu cầu thực tiễn. Cơ sở dữ liệu phục vụ nhận diện rủi ro còn phân tán; cơ chế chia sẻ thông tin, cảnh báo sớm giữa các cơ quan chưa chặt chẽ; năng lực kỹ thuật, công cụ phân tích rủi ro, kiểm định, giám định, hậu kiểm còn hạn chế; hướng dẫn tuân thủ và kiểm soát nội bộ đối với doanh nghiệp, tổ chức có nguy cơ cao chưa đồng đều; trong khi đó, nguy cơ phổ biến </w:t>
      </w:r>
      <w:r w:rsidR="008F3BFE">
        <w:t>WMD</w:t>
      </w:r>
      <w:r w:rsidRPr="001136EC">
        <w:t xml:space="preserve"> ngày càng phức tạp do sự phát triển của công nghệ lưỡng </w:t>
      </w:r>
      <w:r w:rsidRPr="001136EC">
        <w:lastRenderedPageBreak/>
        <w:t>dụng, công nghệ sinh học, dữ liệu kỹ thuật số, chuỗi cung ứng toàn cầu, giao dịch qua nhiều pháp nhân trung gian và các phương thức tài trợ tinh vi, làm cho khuôn khổ quản lý hiện hành bộc lộ độ trễ so với thực tiễn.</w:t>
      </w:r>
    </w:p>
    <w:p w14:paraId="3F7C7D2A" w14:textId="419C3070" w:rsidR="008F3BFE" w:rsidRPr="008F3BFE" w:rsidRDefault="008F3BFE" w:rsidP="002E638F">
      <w:pPr>
        <w:widowControl w:val="0"/>
        <w:spacing w:before="60" w:line="276" w:lineRule="auto"/>
        <w:ind w:firstLine="709"/>
        <w:jc w:val="both"/>
      </w:pPr>
      <w:r w:rsidRPr="008F3BFE">
        <w:t>Từ thực trạng trên, yêu cầu cần hoàn thiện đối với Chính sách 2 là:</w:t>
      </w:r>
    </w:p>
    <w:p w14:paraId="25DA9A9D" w14:textId="77777777" w:rsidR="008F3BFE" w:rsidRPr="008F3BFE" w:rsidRDefault="008F3BFE" w:rsidP="002E638F">
      <w:pPr>
        <w:widowControl w:val="0"/>
        <w:spacing w:before="60" w:line="276" w:lineRule="auto"/>
        <w:ind w:firstLine="709"/>
        <w:jc w:val="both"/>
      </w:pPr>
      <w:r w:rsidRPr="008F3BFE">
        <w:t>(1) Phải thiết lập được hệ thống biện pháp quản lý, kiểm soát đặc thù có tính thống nhất, liên thông và dựa trên rủi ro đối với các hoạt động có nguy cơ dẫn đến phổ biến WMD, khắc phục tình trạng phân tán theo từng lĩnh vực chuyên ngành; đồng thời xác lập rõ cơ chế phối hợp, đầu mối xử lý, chia sẻ dữ liệu, cảnh báo sớm và đánh giá rủi ro liên ngành ở cấp quốc gia.</w:t>
      </w:r>
    </w:p>
    <w:p w14:paraId="4E6A3128" w14:textId="77777777" w:rsidR="008F3BFE" w:rsidRPr="008F3BFE" w:rsidRDefault="008F3BFE" w:rsidP="002E638F">
      <w:pPr>
        <w:widowControl w:val="0"/>
        <w:spacing w:before="60" w:line="276" w:lineRule="auto"/>
        <w:ind w:firstLine="709"/>
        <w:jc w:val="both"/>
      </w:pPr>
      <w:r w:rsidRPr="008F3BFE">
        <w:t>(2) Phải mở rộng phạm vi kiểm soát theo hướng bao quát toàn bộ chuỗi hoạt động có nguy cơ từ nghiên cứu, phát triển, sản xuất, lưu giữ, mua bán, vận chuyển, trung chuyển, quá cảnh, chuyển khẩu, xuất khẩu, nhập khẩu đến sử dụng cuối, chuyển giao công nghệ, chuyển giao phi vật thể, dịch vụ kỹ thuật, dịch vụ hỗ trợ và giao dịch tài chính có liên quan; bảo đảm kiểm soát đồng thời dòng hàng, dòng dịch vụ, dòng công nghệ và dòng tiền.</w:t>
      </w:r>
    </w:p>
    <w:p w14:paraId="5AECA73E" w14:textId="77777777" w:rsidR="008F3BFE" w:rsidRPr="008F3BFE" w:rsidRDefault="008F3BFE" w:rsidP="002E638F">
      <w:pPr>
        <w:widowControl w:val="0"/>
        <w:spacing w:before="60" w:line="276" w:lineRule="auto"/>
        <w:ind w:firstLine="709"/>
        <w:jc w:val="both"/>
      </w:pPr>
      <w:r w:rsidRPr="008F3BFE">
        <w:t>(3) Phải xây dựng cơ chế quản lý, kiểm soát trên cơ sở phân loại và đánh giá mức độ rủi ro CBRN để áp dụng biện pháp quản lý tương xứng với tính chất, mức độ nguy hiểm của từng đối tượng, hoạt động và giao dịch; qua đó bảo đảm tập trung vào đúng nhóm nguy cơ cao, tránh dàn trải hoặc bỏ sót rủi ro.</w:t>
      </w:r>
    </w:p>
    <w:p w14:paraId="43D8DBF3" w14:textId="77777777" w:rsidR="008F3BFE" w:rsidRPr="008F3BFE" w:rsidRDefault="008F3BFE" w:rsidP="002E638F">
      <w:pPr>
        <w:widowControl w:val="0"/>
        <w:spacing w:before="60" w:line="276" w:lineRule="auto"/>
        <w:ind w:firstLine="709"/>
        <w:jc w:val="both"/>
      </w:pPr>
      <w:r w:rsidRPr="008F3BFE">
        <w:t>(4) Phải bổ sung biện pháp kiểm soát đặc thù, đủ chiều sâu đối với các lĩnh vực và hoạt động có nguy cơ cao, nhất là đối với hàng hóa lưỡng dụng, hóa chất nhạy cảm, tác nhân sinh học và độc tố, vật liệu phóng xạ, hạt nhân, chuyển giao công nghệ, dữ liệu kỹ thuật, dịch vụ kỹ thuật, mục đích sử dụng cuối và đối tượng sử dụng cuối; đồng thời bảo đảm gắn kết giữa quản lý chuyên ngành với mục tiêu phòng, chống phổ biến WMD.</w:t>
      </w:r>
    </w:p>
    <w:p w14:paraId="717ADEBA" w14:textId="77777777" w:rsidR="008F3BFE" w:rsidRPr="008F3BFE" w:rsidRDefault="008F3BFE" w:rsidP="002E638F">
      <w:pPr>
        <w:widowControl w:val="0"/>
        <w:spacing w:before="60" w:line="276" w:lineRule="auto"/>
        <w:ind w:firstLine="709"/>
        <w:jc w:val="both"/>
      </w:pPr>
      <w:r w:rsidRPr="008F3BFE">
        <w:t>(5) Phải tăng cường hiệu lực thực thi của các biện pháp quản lý, kiểm soát thông qua hoàn thiện cơ chế hậu kiểm, giám sát sau cấp phép, kiểm tra tuân thủ, kiểm định, giám định, kết nối dữ liệu, chia sẻ thông tin, cảnh báo sớm và quy trình phối hợp xử lý giữa các cơ quan, lực lượng có liên quan, nhất là tại cửa khẩu, biên giới, trên biển và các lĩnh vực có nguy cơ cao.</w:t>
      </w:r>
    </w:p>
    <w:p w14:paraId="68145ABA" w14:textId="1FFB0498" w:rsidR="008F3BFE" w:rsidRPr="001136EC" w:rsidRDefault="008F3BFE" w:rsidP="002E638F">
      <w:pPr>
        <w:widowControl w:val="0"/>
        <w:spacing w:before="60" w:line="276" w:lineRule="auto"/>
        <w:ind w:firstLine="709"/>
        <w:jc w:val="both"/>
        <w:rPr>
          <w:spacing w:val="-2"/>
        </w:rPr>
      </w:pPr>
      <w:r w:rsidRPr="008F3BFE">
        <w:rPr>
          <w:spacing w:val="-2"/>
        </w:rPr>
        <w:t>(6) Phải bảo đảm điều kiện tổ chức thực hiện tương xứng với yêu cầu kiểm soát rủi ro phổ biến WMD, bao gồm cơ sở dữ liệu dùng chung, công cụ phân tích rủi ro, năng lực kỹ thuật, nhân lực chuyên môn, hướng dẫn tuân thủ cho doanh nghiệp và cơ chế kiểm soát nội bộ đối với các chủ thể có nguy cơ cao.</w:t>
      </w:r>
    </w:p>
    <w:p w14:paraId="00B08483" w14:textId="77777777" w:rsidR="00F33B58" w:rsidRPr="00086837" w:rsidRDefault="00F33B58" w:rsidP="002E638F">
      <w:pPr>
        <w:widowControl w:val="0"/>
        <w:spacing w:before="60" w:line="276" w:lineRule="auto"/>
        <w:ind w:firstLine="709"/>
        <w:jc w:val="both"/>
        <w:rPr>
          <w:i/>
        </w:rPr>
      </w:pPr>
      <w:r w:rsidRPr="00086837">
        <w:rPr>
          <w:i/>
        </w:rPr>
        <w:t>2.1.3. Mục tiêu giải quyết vấn đề</w:t>
      </w:r>
    </w:p>
    <w:p w14:paraId="588FBC1D" w14:textId="77777777" w:rsidR="008F3BFE" w:rsidRPr="008F3BFE" w:rsidRDefault="00F33B58" w:rsidP="002E638F">
      <w:pPr>
        <w:spacing w:before="60" w:line="276" w:lineRule="auto"/>
        <w:ind w:firstLine="720"/>
        <w:jc w:val="both"/>
        <w:rPr>
          <w:spacing w:val="4"/>
        </w:rPr>
      </w:pPr>
      <w:r w:rsidRPr="008F3BFE">
        <w:rPr>
          <w:spacing w:val="4"/>
        </w:rPr>
        <w:t xml:space="preserve">- Mục tiêu tổng quát: </w:t>
      </w:r>
      <w:r w:rsidR="008F3BFE" w:rsidRPr="008F3BFE">
        <w:rPr>
          <w:spacing w:val="4"/>
        </w:rPr>
        <w:t xml:space="preserve">Tăng cường biện pháp quản lý, kiểm soát đặc thù đối với các hoạt động có nguy cơ dẫn đến phổ biến và tài trợ phổ biến vũ khí </w:t>
      </w:r>
      <w:r w:rsidR="008F3BFE" w:rsidRPr="008F3BFE">
        <w:rPr>
          <w:spacing w:val="4"/>
        </w:rPr>
        <w:lastRenderedPageBreak/>
        <w:t xml:space="preserve">hủy diệt hàng loạt, bảo đảm xây dựng cơ chế kiểm soát thống nhất, liên thông, dựa trên rủi ro, bao quát toàn bộ chuỗi hoạt động có liên quan; khắc phục sự phân tán, chồng chéo và khoảng trống của pháp luật hiện hành; nâng cao hiệu lực, hiệu quả tổ chức thực hiện, đáp ứng yêu cầu phòng ngừa, phát hiện, ngăn chặn và xử lý nguy cơ phổ biến vũ khí hủy diệt hàng loạt trong tình hình mới. </w:t>
      </w:r>
    </w:p>
    <w:p w14:paraId="1BD972F2" w14:textId="4C7C532D" w:rsidR="00F33B58" w:rsidRDefault="00F33B58" w:rsidP="002E638F">
      <w:pPr>
        <w:spacing w:before="60" w:line="276" w:lineRule="auto"/>
        <w:ind w:firstLine="720"/>
        <w:jc w:val="both"/>
      </w:pPr>
      <w:r w:rsidRPr="00086837">
        <w:t xml:space="preserve">- Mục tiêu cụ thể: </w:t>
      </w:r>
    </w:p>
    <w:p w14:paraId="31465072" w14:textId="2D05FDB6" w:rsidR="000578E1" w:rsidRPr="000578E1" w:rsidRDefault="000578E1" w:rsidP="002E638F">
      <w:pPr>
        <w:spacing w:before="60" w:line="276" w:lineRule="auto"/>
        <w:ind w:firstLine="720"/>
        <w:jc w:val="both"/>
      </w:pPr>
      <w:r w:rsidRPr="000578E1">
        <w:t xml:space="preserve">(1) Thiết lập hệ thống biện pháp quản lý, kiểm soát đặc thù có tính thống nhất, liên thông và dựa trên rủi ro đối với các hoạt động có nguy cơ dẫn đến phổ biến </w:t>
      </w:r>
      <w:r>
        <w:t>WMD</w:t>
      </w:r>
      <w:r w:rsidRPr="000578E1">
        <w:t>, khắc phục tình trạng phân tán theo từng lĩnh vực chuyên ngành và thiếu liên kết trong kiểm soát.</w:t>
      </w:r>
    </w:p>
    <w:p w14:paraId="7188F357" w14:textId="77777777" w:rsidR="000578E1" w:rsidRPr="000578E1" w:rsidRDefault="000578E1" w:rsidP="002E638F">
      <w:pPr>
        <w:spacing w:before="60" w:line="276" w:lineRule="auto"/>
        <w:ind w:firstLine="720"/>
        <w:jc w:val="both"/>
      </w:pPr>
      <w:r w:rsidRPr="000578E1">
        <w:t>(2) Thiết lập cơ chế phân loại, nhận diện và đánh giá rủi ro hóa học, sinh học, phóng xạ và hạt nhân làm căn cứ áp dụng biện pháp quản lý, kiểm soát phù hợp với tính chất, mức độ nguy hiểm của từng đối tượng, hoạt động, giao dịch và lĩnh vực có nguy cơ cao.</w:t>
      </w:r>
    </w:p>
    <w:p w14:paraId="2DEC325A" w14:textId="77777777" w:rsidR="000578E1" w:rsidRPr="000578E1" w:rsidRDefault="000578E1" w:rsidP="002E638F">
      <w:pPr>
        <w:spacing w:before="60" w:line="276" w:lineRule="auto"/>
        <w:ind w:firstLine="720"/>
        <w:jc w:val="both"/>
      </w:pPr>
      <w:r w:rsidRPr="000578E1">
        <w:t>(3) Xây dựng cơ chế kiểm soát xuyên suốt đối với toàn bộ chuỗi hoạt động có nguy cơ, từ nghiên cứu, phát triển, sản xuất, lưu giữ, mua bán, vận chuyển, trung chuyển, quá cảnh, chuyển khẩu, xuất khẩu, nhập khẩu, sử dụng cuối đến chuyển giao công nghệ, chuyển giao phi vật thể, dịch vụ kỹ thuật và các giao dịch tài chính có liên quan đến hàng hóa, vật liệu, thiết bị, công nghệ và tác nhân nhạy cảm.</w:t>
      </w:r>
    </w:p>
    <w:p w14:paraId="59546B8E" w14:textId="77777777" w:rsidR="000578E1" w:rsidRPr="000578E1" w:rsidRDefault="000578E1" w:rsidP="002E638F">
      <w:pPr>
        <w:spacing w:before="60" w:line="276" w:lineRule="auto"/>
        <w:ind w:firstLine="720"/>
        <w:jc w:val="both"/>
      </w:pPr>
      <w:r w:rsidRPr="000578E1">
        <w:t>(4) Hoàn thiện biện pháp kiểm soát đặc thù đối với các lĩnh vực và đối tượng có nguy cơ cao, nhất là hàng hóa lưỡng dụng, hóa chất nhạy cảm, tác nhân sinh học và độc tố, vật liệu phóng xạ, hạt nhân, công nghệ nhạy cảm, phương tiện phát tán, người sử dụng cuối, mục đích sử dụng cuối và các dịch vụ hỗ trợ có liên quan.</w:t>
      </w:r>
    </w:p>
    <w:p w14:paraId="16AEFDA8" w14:textId="56D299B4" w:rsidR="000578E1" w:rsidRPr="000578E1" w:rsidRDefault="000578E1" w:rsidP="002E638F">
      <w:pPr>
        <w:spacing w:before="60" w:line="276" w:lineRule="auto"/>
        <w:ind w:firstLine="720"/>
        <w:jc w:val="both"/>
      </w:pPr>
      <w:r w:rsidRPr="000578E1">
        <w:t xml:space="preserve">(5) Hoàn thiện cơ chế kiểm soát đối với hoạt động xuất khẩu, nhập khẩu, quá cảnh, trung chuyển, chuyển khẩu và các giao dịch có yếu tố nước ngoài, gắn với thẩm tra người sử dụng cuối, mục đích sử dụng cuối, kiểm soát theo nghi ngờ và các biện pháp ngăn ngừa việc lợi dụng chuỗi cung ứng để phục vụ phổ biến </w:t>
      </w:r>
      <w:r>
        <w:t>WMD</w:t>
      </w:r>
      <w:r w:rsidRPr="000578E1">
        <w:t>.</w:t>
      </w:r>
    </w:p>
    <w:p w14:paraId="5245CC0E" w14:textId="16F059AE" w:rsidR="000578E1" w:rsidRPr="000578E1" w:rsidRDefault="000578E1" w:rsidP="002E638F">
      <w:pPr>
        <w:spacing w:before="60" w:line="276" w:lineRule="auto"/>
        <w:ind w:firstLine="720"/>
        <w:jc w:val="both"/>
        <w:rPr>
          <w:spacing w:val="-4"/>
        </w:rPr>
      </w:pPr>
      <w:r w:rsidRPr="000578E1">
        <w:rPr>
          <w:spacing w:val="-4"/>
        </w:rPr>
        <w:t>(6) Hoàn thiện biện pháp kiểm soát đối với tài trợ phổ biến WMD, bảo đảm ngăn chặn việc cung cấp tiền, tài sản, dịch vụ tài chính và các hình thức hỗ trợ tài chính cho các hoạt động, tổ chức, cá nhân có liên quan đến phổ biến WMD.</w:t>
      </w:r>
    </w:p>
    <w:p w14:paraId="766E4862" w14:textId="21FFD45C" w:rsidR="000578E1" w:rsidRDefault="000578E1" w:rsidP="002E638F">
      <w:pPr>
        <w:spacing w:before="60" w:line="276" w:lineRule="auto"/>
        <w:ind w:firstLine="720"/>
        <w:jc w:val="both"/>
      </w:pPr>
      <w:r w:rsidRPr="000578E1">
        <w:t xml:space="preserve">(7) Hoàn thiện biện pháp quản lý, kiểm soát trên cơ sở ứng dụng công nghệ thông tin và chuyển đổi số, phục vụ nhận diện rủi ro, sàng lọc đối tượng, </w:t>
      </w:r>
      <w:r w:rsidRPr="000578E1">
        <w:lastRenderedPageBreak/>
        <w:t xml:space="preserve">theo dõi, giám sát, cảnh báo sớm và hỗ trợ kết nối, chia sẻ dữ liệu trong kiểm soát các hoạt động có nguy cơ dẫn đến phổ biến </w:t>
      </w:r>
      <w:r>
        <w:t>WMD</w:t>
      </w:r>
      <w:r w:rsidRPr="000578E1">
        <w:t>.</w:t>
      </w:r>
    </w:p>
    <w:p w14:paraId="2BB9B44B" w14:textId="2A32B59E" w:rsidR="00F33B58" w:rsidRPr="00086837" w:rsidRDefault="00F33B58" w:rsidP="002E638F">
      <w:pPr>
        <w:spacing w:before="60" w:line="276" w:lineRule="auto"/>
        <w:ind w:firstLine="720"/>
        <w:jc w:val="both"/>
        <w:rPr>
          <w:bCs/>
          <w:spacing w:val="-4"/>
          <w:lang w:val="vi"/>
        </w:rPr>
      </w:pPr>
      <w:r w:rsidRPr="00086837">
        <w:rPr>
          <w:spacing w:val="-4"/>
        </w:rPr>
        <w:t xml:space="preserve">2.2. </w:t>
      </w:r>
      <w:r w:rsidRPr="00086837">
        <w:rPr>
          <w:bCs/>
          <w:spacing w:val="-4"/>
          <w:lang w:val="vi"/>
        </w:rPr>
        <w:t>Các giải pháp và đánh giá tác động của các giải pháp đối với đối tượng chịu sự tác động trực tiếp của chính sách và các đối tượng khác có liên quan</w:t>
      </w:r>
    </w:p>
    <w:p w14:paraId="0E46612A" w14:textId="77777777" w:rsidR="00F33B58" w:rsidRPr="00086837" w:rsidRDefault="00F33B58" w:rsidP="002E638F">
      <w:pPr>
        <w:spacing w:before="60" w:line="276" w:lineRule="auto"/>
        <w:ind w:firstLine="720"/>
        <w:jc w:val="both"/>
        <w:rPr>
          <w:bCs/>
          <w:i/>
        </w:rPr>
      </w:pPr>
      <w:r w:rsidRPr="00086837">
        <w:rPr>
          <w:bCs/>
          <w:i/>
        </w:rPr>
        <w:t>2.2.1. Giải pháp 1: Sửa đổi, bổ sung Nghị định số 81/2019/NĐ-CP theo hướng tăng cường biện pháp quản lý, kiểm soát đặc thù dựa trên rủi ro đối với các hoạt động có nguy cơ dẫn đến phổ biến vũ khí hủy diệt hàng loạt, đồng thời hoàn thiện quy trình và cơ chế phối hợp liên ngành trong tổ chức thực hiện</w:t>
      </w:r>
    </w:p>
    <w:p w14:paraId="3D0A3969" w14:textId="77777777" w:rsidR="00F33B58" w:rsidRPr="00086837" w:rsidRDefault="00F33B58" w:rsidP="002E638F">
      <w:pPr>
        <w:spacing w:before="60" w:line="276" w:lineRule="auto"/>
        <w:ind w:firstLine="720"/>
        <w:jc w:val="both"/>
        <w:rPr>
          <w:bCs/>
        </w:rPr>
      </w:pPr>
      <w:r w:rsidRPr="00086837">
        <w:rPr>
          <w:bCs/>
        </w:rPr>
        <w:t>a) Tác động đối với hệ thống pháp luật</w:t>
      </w:r>
    </w:p>
    <w:p w14:paraId="4C4950FA" w14:textId="77777777" w:rsidR="00F33B58" w:rsidRPr="00086837" w:rsidRDefault="00F33B58" w:rsidP="002E638F">
      <w:pPr>
        <w:spacing w:before="60" w:line="276" w:lineRule="auto"/>
        <w:ind w:firstLine="720"/>
        <w:jc w:val="both"/>
        <w:rPr>
          <w:bCs/>
        </w:rPr>
      </w:pPr>
      <w:r w:rsidRPr="00086837">
        <w:rPr>
          <w:bCs/>
        </w:rPr>
        <w:t xml:space="preserve">- Tính hợp hiến của chính sách: </w:t>
      </w:r>
    </w:p>
    <w:p w14:paraId="7C208071" w14:textId="71C62159" w:rsidR="00FC7F6F" w:rsidRDefault="00F33B58" w:rsidP="002E638F">
      <w:pPr>
        <w:spacing w:before="60" w:line="276" w:lineRule="auto"/>
        <w:ind w:firstLine="720"/>
        <w:jc w:val="both"/>
        <w:rPr>
          <w:bCs/>
        </w:rPr>
      </w:pPr>
      <w:r w:rsidRPr="00086837">
        <w:rPr>
          <w:bCs/>
        </w:rPr>
        <w:t>Khoản 2 Điều 14 Hiến pháp 2013 quy định quyền con người, quyền công dân chỉ có thể bị hạn chế theo quy định của luật và trong các trường hợp cần thiết để bảo đảm quốc phòng, an ninh, trật tự và an toàn xã hội. Tuy nhiên, giải pháp 1 vẫn giữ các biện pháp kiểm tra, tạm giữ, đình chỉ, phong tỏa tài sản ở cấp nghị định</w:t>
      </w:r>
      <w:r w:rsidR="00FC7F6F">
        <w:rPr>
          <w:bCs/>
        </w:rPr>
        <w:t xml:space="preserve">, </w:t>
      </w:r>
      <w:r w:rsidR="00FC7F6F" w:rsidRPr="00FC7F6F">
        <w:rPr>
          <w:bCs/>
        </w:rPr>
        <w:t>khó thiết kế đầy đủ cơ chế bảo đảm quyền (quyền được thông tin, giải trình, khiếu nại; bồi thường, khắc phục) tương xứng với mức độ can thiệp của các biện pháp kiểm soát như kiểm tra, tạm giữ, thu giữ, đình chỉ, phong tỏa tài sản. Đồng thời, nghị định không đủ cơ sở để quy định trọn vẹn các nguyên tắc hạn chế quyền theo yêu cầu hiến định (tính cần thiết, hợp lý, tương xứng), cũng như các bảo đảm thủ tục tối thiểu như căn cứ áp dụng, thẩm quyền, trình tự, thời hạn, cơ chế giám sát, cơ chế phục hồi quyền và lợi ích hợp pháp khi áp dụng nhầm hoặc áp dụng vượt căn cứ. Vì vậy, về nội dung, giải pháp 1 chưa tạo cơ sở hiến định vững chắc để áp dụng các biện pháp hạn chế quyền; rủi ro vi hiến và rủi ro khiếu kiện gia tăng khi các biện pháp can thiệp sâu tiếp tục được đặt ở văn bản dưới luật thay vì được luật hóa đầy đủ.</w:t>
      </w:r>
    </w:p>
    <w:p w14:paraId="2BC18FFD" w14:textId="77777777" w:rsidR="00F33B58" w:rsidRPr="00086837" w:rsidRDefault="00F33B58" w:rsidP="002E638F">
      <w:pPr>
        <w:spacing w:before="60" w:line="276" w:lineRule="auto"/>
        <w:ind w:firstLine="720"/>
        <w:jc w:val="both"/>
        <w:rPr>
          <w:bCs/>
        </w:rPr>
      </w:pPr>
      <w:r w:rsidRPr="00086837">
        <w:rPr>
          <w:bCs/>
        </w:rPr>
        <w:t>- Tính hợp pháp, tính thống nhất của chính sách:</w:t>
      </w:r>
    </w:p>
    <w:p w14:paraId="3BBDA2BE" w14:textId="77777777" w:rsidR="00F33B58" w:rsidRPr="00086837" w:rsidRDefault="00F33B58" w:rsidP="002E638F">
      <w:pPr>
        <w:spacing w:before="60" w:line="276" w:lineRule="auto"/>
        <w:ind w:firstLine="720"/>
        <w:jc w:val="both"/>
        <w:rPr>
          <w:bCs/>
        </w:rPr>
      </w:pPr>
      <w:r w:rsidRPr="00086837">
        <w:rPr>
          <w:bCs/>
        </w:rPr>
        <w:t xml:space="preserve">Theo quy định Luật BHVBQPPL năm 2025, Chính phủ có thẩm quyền ban hành và điều chỉnh nghị định (Điều 14), nên việc sửa nghị định là hợp lệ về hình thức. Tuy nhiên, nghị định đứng sau luật trong trật tự hiệu lực và chức năng chính là hướng dẫn thi hành luật; giải pháp 1 tiếp tục giữ các biện pháp kiểm tra, tạm giữ, phong tỏa tài sản ở cấp nghị định mà không có căn cứ luật định, việc hạn chế quyền con người, quyền công dân sẽ không đáp ứng yêu cầu “chỉ bị hạn chế theo quy định của luật” tại khoản 2 Điều 14 Hiến pháp. Hơn nữa, Việt Nam đã tham gia các điều ước quốc tế cấm vũ khí hạt nhân, hóa học, sinh học và cam kết thực hiện các nghị quyết của Hội đồng Bảo an về chống phổ biến WMD; các điều ước này đòi hỏi biện pháp ngăn chặn, phòng ngừa và xử lý tài trợ phổ biến </w:t>
      </w:r>
      <w:r w:rsidRPr="00086837">
        <w:rPr>
          <w:bCs/>
        </w:rPr>
        <w:lastRenderedPageBreak/>
        <w:t xml:space="preserve">WMD ở mức độ đầy đủ; giải pháp này khó đảm bảo nội luật hóa đầy đủ nghĩa vụ quốc tế này. </w:t>
      </w:r>
    </w:p>
    <w:p w14:paraId="751937F3" w14:textId="77777777" w:rsidR="00F33B58" w:rsidRPr="00086837" w:rsidRDefault="00F33B58" w:rsidP="002E638F">
      <w:pPr>
        <w:spacing w:before="60" w:line="276" w:lineRule="auto"/>
        <w:ind w:firstLine="720"/>
        <w:jc w:val="both"/>
        <w:rPr>
          <w:bCs/>
        </w:rPr>
      </w:pPr>
      <w:r w:rsidRPr="00086837">
        <w:rPr>
          <w:bCs/>
        </w:rPr>
        <w:t>Về tính thống nhất, Nghị định 81/2019 vốn là “khung chung” dưới luật; các quy định kiểm soát WMD vẫn đang phân tán trong nhiều luật chuyên ngành (ngoại thương, hải quan, hóa chất, năng lượng nguyên tử…), nên sửa nghị định chỉ điều chỉnh quy trình trong phạm vi hẹp mà không giải quyết được xung đột, chồng chéo giữa các luật. Vì vậy, xét về nội dung và mức độ tác động, giải pháp 1 tuy hợp lệ về thủ tục nhưng thiếu cơ sở pháp lý vững chắc và không tạo ra sự thống nhất cần thiết trong hệ thống pháp luật, khó đáp ứng yêu cầu của các điều ước quốc tế mà Việt Nam đã cam kết.</w:t>
      </w:r>
    </w:p>
    <w:p w14:paraId="638458D1" w14:textId="77777777" w:rsidR="00F33B58" w:rsidRPr="00086837" w:rsidRDefault="00F33B58" w:rsidP="002E638F">
      <w:pPr>
        <w:spacing w:before="60" w:line="276" w:lineRule="auto"/>
        <w:ind w:firstLine="720"/>
        <w:jc w:val="both"/>
        <w:rPr>
          <w:bCs/>
        </w:rPr>
      </w:pPr>
      <w:r w:rsidRPr="00086837">
        <w:rPr>
          <w:bCs/>
        </w:rPr>
        <w:t xml:space="preserve">- Tính tương thích của chính sách với các điều ước quốc tế có liên quan mà nước Cộng hòa xã hội chủ nghĩa Việt Nam là thành viên: </w:t>
      </w:r>
    </w:p>
    <w:p w14:paraId="6750275C" w14:textId="77777777" w:rsidR="00F33B58" w:rsidRPr="00086837" w:rsidRDefault="00F33B58" w:rsidP="002E638F">
      <w:pPr>
        <w:spacing w:before="60" w:line="276" w:lineRule="auto"/>
        <w:ind w:firstLine="720"/>
        <w:jc w:val="both"/>
        <w:rPr>
          <w:bCs/>
        </w:rPr>
      </w:pPr>
      <w:r w:rsidRPr="00086837">
        <w:rPr>
          <w:bCs/>
        </w:rPr>
        <w:t>Giải pháp 1 góp phần tăng cường quản lý rủi ro và hoàn thiện cơ chế phối hợp liên ngành để triển khai các nghĩa vụ quốc tế về phòng, chống phổ biến WMD mà Việt Nam đã cam kết, như: Hiệp ước không phổ biến vũ khí hạt nhân, Hiệp ước khu vực Đông Nam Á không vũ khí hạt nhân, Hiệp ước cấm vũ khí hạt nhân, Công ước cấm vũ khí sinh học, Công ước cấm vũ khí hoá học và Nghị quyết 1540 của Hội đồng Bảo an. Xét về tính tương thích, các nội dung này phù hợp với những điều ước quốc tế nêu trên và không tạo ra nghĩa vụ trái ngược; đồng thời góp phần hiện thực hoá cam kết của Việt Nam trong việc cấm phát triển và chuyển giao vũ khí hạt nhân, sinh học và hoá học.</w:t>
      </w:r>
    </w:p>
    <w:p w14:paraId="0902E1AC" w14:textId="77777777" w:rsidR="00F33B58" w:rsidRPr="00086837" w:rsidRDefault="00F33B58" w:rsidP="002E638F">
      <w:pPr>
        <w:spacing w:before="60" w:line="276" w:lineRule="auto"/>
        <w:ind w:firstLine="720"/>
        <w:jc w:val="both"/>
        <w:rPr>
          <w:bCs/>
        </w:rPr>
      </w:pPr>
      <w:r w:rsidRPr="00086837">
        <w:rPr>
          <w:bCs/>
        </w:rPr>
        <w:t xml:space="preserve">Tuy nhiên, việc tiếp tục điều chỉnh bằng văn bản dưới luật tạo ra một số tác động tiêu cực đối với hệ thống pháp luật và hiệu quả quản lý như: (1) quy định dưới luật có hiệu lực pháp lý thấp, dễ mâu thuẫn hoặc chồng chéo với các đạo luật hiện hành về thương mại, khoa học và công nghệ; khi có xung đột pháp lý, các cơ quan thực thi khó xác định ưu tiên, làm giảm hiệu lực của chính sách; (2) phạm vi điều chỉnh và thẩm quyền của nghị định hạn chế khiến các biện pháp kiểm soát rủi ro, cấp phép và phong toả tài sản khó được triển khai đồng bộ trên toàn quốc; sự thiếu nhất quán giữa các bộ, ngành và địa phương có thể dẫn tới việc doanh nghiệp phải thực hiện nhiều thủ tục khác nhau; (3) văn bản dưới luật khó đảm bảo tính ổn định lâu dài; mỗi khi bối cảnh công nghệ và cam kết quốc tế thay đổi, phải sửa đổi nghị định nhiều lần, làm tăng chi phí tuân thủ và gây mất niềm tin cho doanh nghiệp; (4) việc xử lý vi phạm và bảo vệ quyền lợi của tổ chức, cá nhân bị ảnh hưởng bởi các biện pháp phong toả tài sản theo Nghị quyết 1540 có thể thiếu cơ sở vững chắc, dễ bị khiếu kiện. </w:t>
      </w:r>
    </w:p>
    <w:p w14:paraId="4E983084" w14:textId="77777777" w:rsidR="00F33B58" w:rsidRPr="00086837" w:rsidRDefault="00F33B58" w:rsidP="002E638F">
      <w:pPr>
        <w:spacing w:before="60" w:line="276" w:lineRule="auto"/>
        <w:ind w:firstLine="720"/>
        <w:jc w:val="both"/>
        <w:rPr>
          <w:bCs/>
        </w:rPr>
      </w:pPr>
      <w:r w:rsidRPr="00086837">
        <w:rPr>
          <w:bCs/>
        </w:rPr>
        <w:t>b) Tác động về kinh tế -  xã hội</w:t>
      </w:r>
    </w:p>
    <w:p w14:paraId="3F8A1829" w14:textId="77777777" w:rsidR="00F33B58" w:rsidRPr="00086837" w:rsidRDefault="00F33B58" w:rsidP="002E638F">
      <w:pPr>
        <w:spacing w:before="60" w:line="276" w:lineRule="auto"/>
        <w:ind w:firstLine="720"/>
        <w:jc w:val="both"/>
        <w:rPr>
          <w:bCs/>
        </w:rPr>
      </w:pPr>
      <w:r w:rsidRPr="00086837">
        <w:rPr>
          <w:bCs/>
        </w:rPr>
        <w:t>- Đối với sản xuất, kinh doanh:</w:t>
      </w:r>
    </w:p>
    <w:p w14:paraId="2FCDBF6D" w14:textId="77777777" w:rsidR="00F33B58" w:rsidRPr="00086837" w:rsidRDefault="00F33B58" w:rsidP="002E638F">
      <w:pPr>
        <w:spacing w:before="60" w:line="276" w:lineRule="auto"/>
        <w:ind w:firstLine="720"/>
        <w:jc w:val="both"/>
      </w:pPr>
      <w:r w:rsidRPr="00086837">
        <w:lastRenderedPageBreak/>
        <w:t>Giải pháp 1 tác động trực tiếp đến khu vực sản xuất, kinh doanh do Nghị định 81/2019/NĐ-CP đang là khuôn khổ quy định về nguyên tắc, chính sách, biện pháp và trách nhiệm của cơ quan, tổ chức, cá nhân trong phòng, chống phổ biến WMD. Giải pháp này thúc đẩy môi trường tuân thủ rõ ràng hơn theo hướng phân tầng rủi ro, qua đó hỗ trợ doanh nghiệp củng cố điều kiện đầu tư kinh doanh (chuẩn hóa quy trình kiểm soát nội bộ, lưu vết, sàng lọc đối tác, khách hàng và mục đích sử dụng cuối đối với hàng hóa, công nghệ nhạy cảm), giảm rủi ro gián đoạn hoạt động do sai sót tuân thủ; đồng thời nâng chất lượng quản trị chuỗi cung ứng, làm nền cho khả năng cạnh tranh trong các thị trường, đơn hàng đòi hỏi chuẩn mực cao. Về lĩnh vực  tiếp cận thị trường, việc thiết kế quản lý theo rủi ro và phối hợp liên ngành tương thích định hướng thực thi các nghĩa vụ liên quan “</w:t>
      </w:r>
      <w:r w:rsidRPr="00086837">
        <w:rPr>
          <w:lang w:val="vi-VN"/>
        </w:rPr>
        <w:t>các biện pháp trừng phạt tài chính có mục tiêu</w:t>
      </w:r>
      <w:r w:rsidRPr="00086837">
        <w:t>” và phối hợp quốc gia theo khuyến nghị FATF về chống tài trợ phổ biến WMD, qua đó tăng mức độ tin cậy khi giao dịch xuyên biên giới và làm việc với đối tác, định chế tài chính. Đối với nguyên liệu, nhiên liệu, cơ chế kiểm soát theo rủi ro giúp doanh nghiệp chủ động rà soát đầu vào và nhà cung cấp theo tiêu chí nhất quán hơn, giảm nguy cơ “đứt gãy” do bị yêu cầu xác minh đột xuất; tác động lan tỏa tới vốn theo hướng doanh nghiệp phân bổ vốn cho hệ thống tuân thủ, số hóa hồ sơ và quản trị rủi ro chuỗi cung ứng, đồng thời tối ưu dòng vốn lưu động nhờ giảm sự cố tuân thủ gây đình trệ lô hàng. Về nguồn nhân lực, giải pháp tạo động lực nâng chuẩn năng lực tuân thủ (đào tạo nhân sự xuất nhập khẩu, pháp chế - tuân thủ, kiểm soát nội bộ); về hạ tầng - kỹ thuật, yêu cầu phối hợp liên ngành thúc đẩy nhu cầu liên thông dữ liệu và thủ tục điện tử, từ đó cải thiện điều kiện vận hành cho doanh nghiệp khi được triển khai đồng bộ. Các nội dung liên quan trực tiếp khác (quản trị hợp đồng, bảo hiểm rủi ro và chuyển giao công nghệ trong các giao dịch nhạy cảm) cũng hưởng lợi từ việc có chuẩn tuân thủ rõ hơn và khả năng chứng minh tuân thủ tốt hơn khi làm việc với đối tác.</w:t>
      </w:r>
    </w:p>
    <w:p w14:paraId="03358CF9" w14:textId="77777777" w:rsidR="00F33B58" w:rsidRPr="00086837" w:rsidRDefault="00F33B58" w:rsidP="002E638F">
      <w:pPr>
        <w:spacing w:before="60" w:line="276" w:lineRule="auto"/>
        <w:ind w:firstLine="720"/>
        <w:jc w:val="both"/>
      </w:pPr>
      <w:r w:rsidRPr="00086837">
        <w:t xml:space="preserve">Tuy nhiên, giải pháp 1 có những tác động tiêu cực: (1) khi sửa đổi quy định vận hành dễ rơi vào trạng thái phân mảnh (doanh nghiệp phải đồng thời theo dõi văn bản gốc, các văn bản sửa đổi và hướng dẫn triển khai), làm tăng chi phí pháp chế và chi phí cập nhật quy trình nội bộ. Điều này gắn với yêu cầu kỹ thuật lập pháp tại Luật số 64/2025/QH15: trường hợp thay đổi cơ bản chính sách, phạm vi, đối tượng áp dụng hoặc sửa đổi quá một nửa tổng số điều thì định hướng là ban hành văn bản thay thế; đồng thời cơ quan ban hành phải sửa đổi, bãi bỏ kịp thời văn bản do mình ban hành có nội dung khác với văn bản mới, nhằm tránh chồng chéo và “độ vênh” quy định; (2) do cơ chế tổ chức thực hiện mang tính liên ngành, rủi ro thiếu thống nhất trong cách hiểu và áp dụng giữa các đầu mối thực thi gia tăng, kéo theo độ bất định về thời gian xử lý, yêu cầu </w:t>
      </w:r>
      <w:r w:rsidRPr="00086837">
        <w:lastRenderedPageBreak/>
        <w:t>hồ sơ và cách thức kiểm soát trong từng tình huống; trong khi đó, Luật số 64/2025/QH15 đặt nguyên tắc xây dựng, ban hành văn bản phải bảo đảm tính hợp hiến, hợp pháp và tính thống nhất trong hệ thống pháp luật, cho thấy “tính thống nhất” là yêu cầu bắt buộc nhưng lại phụ thuộc mạnh vào mức độ đồng bộ khi triển khai sửa đổi ở cấp nghị định; (3) khi các yêu cầu tuân thủ thay đổi theo chu kỳ sửa đổi và cách triển khai chưa đồng bộ, chi phí tuân thủ của doanh nghiệp gia tăng do quy định tạo ra và cần được kiểm soát khi lựa chọn phương án điều chỉnh.</w:t>
      </w:r>
    </w:p>
    <w:p w14:paraId="386DCDCD" w14:textId="6B3CFC02" w:rsidR="00F33B58" w:rsidRPr="00086837" w:rsidRDefault="00F33B58" w:rsidP="002E638F">
      <w:pPr>
        <w:spacing w:before="60" w:line="276" w:lineRule="auto"/>
        <w:ind w:firstLine="720"/>
        <w:jc w:val="both"/>
      </w:pPr>
      <w:r w:rsidRPr="00086837">
        <w:t xml:space="preserve">Giải pháp 1 tạo nhiều tác động tích cực cho khu vực sản xuất, kinh doanh trên các phương diện điều kiện đầu tư kinh doanh, tiếp cận thị trường, năng lực cạnh tranh, quản trị nguyên liệu, nhiên liệu, phát triển nguồn nhân lực, phân bổ vốn và hiện đại hóa hạ tầng, kỹ thuật, song đồng thời </w:t>
      </w:r>
      <w:r w:rsidR="00FC7F6F" w:rsidRPr="00FC7F6F">
        <w:t>đặt ra tác động bất lợi</w:t>
      </w:r>
      <w:r w:rsidR="00FC7F6F">
        <w:t xml:space="preserve">, </w:t>
      </w:r>
      <w:r w:rsidRPr="00086837">
        <w:t>xuất phát từ sự ổn định pháp lý, tính thống nhất và khả năng dự báo trong áp dụng, làm tăng chi phí tuân thủ và chi phí giao dịch cho doanh nghiệp trong giai đoạn vận hành.</w:t>
      </w:r>
    </w:p>
    <w:p w14:paraId="677D04CB" w14:textId="77777777" w:rsidR="00F33B58" w:rsidRPr="00086837" w:rsidRDefault="00F33B58" w:rsidP="002E638F">
      <w:pPr>
        <w:spacing w:before="60" w:line="276" w:lineRule="auto"/>
        <w:ind w:firstLine="720"/>
        <w:jc w:val="both"/>
        <w:rPr>
          <w:bCs/>
        </w:rPr>
      </w:pPr>
      <w:r w:rsidRPr="00086837">
        <w:rPr>
          <w:bCs/>
        </w:rPr>
        <w:t>- Đối với việc làm:</w:t>
      </w:r>
    </w:p>
    <w:p w14:paraId="422DCFFD" w14:textId="77777777" w:rsidR="00F33B58" w:rsidRPr="00086837" w:rsidRDefault="00F33B58" w:rsidP="002E638F">
      <w:pPr>
        <w:spacing w:before="60" w:line="276" w:lineRule="auto"/>
        <w:ind w:firstLine="720"/>
        <w:jc w:val="both"/>
        <w:rPr>
          <w:bCs/>
        </w:rPr>
      </w:pPr>
      <w:r w:rsidRPr="00086837">
        <w:rPr>
          <w:bCs/>
        </w:rPr>
        <w:t>Giải pháp 1 tác động đến thị trường lao động chủ yếu thông qua việc chuẩn hóa quy trình tổ chức thực hiện, làm rõ thẩm quyền, trách nhiệm, đầu mối phối hợp và cơ chế bảo đảm quyền, lợi ích hợp pháp trong phòng, chống phổ biến và tài trợ phổ biến WMD. Tác động trực tiếp thể hiện ở cơ cấu việc làm và yêu cầu kỹ năng, tập trung tại các doanh nghiệp và tổ chức có hoạt động liên quan chuỗi sản xuất, xuất nhập khẩu, logistics, dịch vụ kỹ thuật và dịch vụ tài chính trong nhóm rủi ro cao. Khi quy trình xử lý thông tin nghi ngờ, lưu vết hồ sơ, giải trình, phối hợp kiểm tra và cơ chế xử lý nhầm lẫn được quy định rõ hơn, nhu cầu bố trí nhân sự kiêm nhiệm hoặc chuyên trách ở các vị trí pháp chế, tuân thủ, quản trị rủi ro, phân loại hàng hóa, thẩm tra đối tác, khách hàng, kiểm soát mục đích sử dụng cuối, kiểm soát chất lượng và an toàn gia tăng, qua đó điều chỉnh cơ cấu lao động theo hướng tăng tỷ trọng lao động có kỹ năng và chuyên môn. Yêu cầu quản lý theo rủi ro gắn với phối hợp liên ngành thúc đẩy doanh nghiệp củng cố hoạt động đào tạo, bồi dưỡng kỹ năng (tuân thủ, nghiệp vụ chứng từ, quản trị chuỗi cung ứng, kiểm soát nội bộ, an toàn) và chuẩn hóa quy trình vận hành tại kho bãi, vận chuyển, phòng thí nghiệm và các khâu sản xuất liên quan; điều này góp phần nâng kỷ luật an toàn, giảm rủi ro sự cố nghề nghiệp. Khi quy trình kiểm tra, lưu vết và phân định trách nhiệm giữa các chủ thể được chuẩn hóa, thời gian xử lý phát sinh do sai sót tuân thủ giảm, từ đó cải thiện hiệu suất sử dụng lao động khi hệ thống vận hành ổn định.</w:t>
      </w:r>
    </w:p>
    <w:p w14:paraId="7290FA7E" w14:textId="77777777" w:rsidR="00F33B58" w:rsidRPr="00086837" w:rsidRDefault="00F33B58" w:rsidP="002E638F">
      <w:pPr>
        <w:spacing w:before="60" w:line="276" w:lineRule="auto"/>
        <w:ind w:firstLine="720"/>
        <w:jc w:val="both"/>
        <w:rPr>
          <w:bCs/>
        </w:rPr>
      </w:pPr>
      <w:r w:rsidRPr="00086837">
        <w:rPr>
          <w:bCs/>
        </w:rPr>
        <w:t xml:space="preserve">Trong giai đoạn chuyển đổi, Giải pháp 1 làm phát sinh chi phí điều chỉnh lao động do doanh nghiệp phải rà soát và cập nhật quy trình nội bộ, tái phân </w:t>
      </w:r>
      <w:r w:rsidRPr="00086837">
        <w:rPr>
          <w:bCs/>
        </w:rPr>
        <w:lastRenderedPageBreak/>
        <w:t>công nhiệm vụ, tổ chức tập huấn và kiểm tra lại năng lực tuân thủ đối với các vị trí liên quan; giờ công dành cho hoạt động hồ sơ, giải trình và phối hợp tăng, dẫn tới suy giảm năng suất ngắn hạn. Do cơ chế phối hợp nhiều đầu mối và yêu cầu cập nhật quy trình, tiêu chuẩn nghiệp vụ trong quá trình tổ chức thực hiện, doanh nghiệp điều chỉnh kế hoạch nhân sự theo hướng tăng cường chức năng kiểm soát nội bộ, ưu tiên điều chuyển sang vị trí tuân thủ hoặc sử dụng thuê ngoài đối với một số nhiệm vụ hỗ trợ để kiểm soát chi phí cố định; điều này làm giảm độ ổn định việc làm tại một số khâu trực tiếp trong thời gian đầu. Khối lượng hồ sơ và áp lực tiến độ tại bộ phận chứng từ, giao nhận, kho vận gia tăng làm tăng làm thêm giờ và căng thẳng công việc; thu nhập, phúc lợi gắn với năng suất và tiến độ biến động trong giai đoạn doanh nghiệp hoàn thiện quy trình tuân thủ và ổn định vận hành.</w:t>
      </w:r>
    </w:p>
    <w:p w14:paraId="3EE6AEF5" w14:textId="77777777" w:rsidR="00F33B58" w:rsidRPr="00086837" w:rsidRDefault="00F33B58" w:rsidP="002E638F">
      <w:pPr>
        <w:spacing w:before="60" w:line="276" w:lineRule="auto"/>
        <w:ind w:firstLine="720"/>
        <w:jc w:val="both"/>
        <w:rPr>
          <w:bCs/>
        </w:rPr>
      </w:pPr>
      <w:r w:rsidRPr="00086837">
        <w:rPr>
          <w:bCs/>
        </w:rPr>
        <w:t>- Đối với dân tộc, tôn giáo:</w:t>
      </w:r>
    </w:p>
    <w:p w14:paraId="32D2B828" w14:textId="77777777" w:rsidR="00F33B58" w:rsidRPr="00086837" w:rsidRDefault="00F33B58" w:rsidP="002E638F">
      <w:pPr>
        <w:spacing w:before="60" w:line="276" w:lineRule="auto"/>
        <w:ind w:firstLine="720"/>
        <w:jc w:val="both"/>
        <w:rPr>
          <w:bCs/>
        </w:rPr>
      </w:pPr>
      <w:r w:rsidRPr="00086837">
        <w:rPr>
          <w:bCs/>
        </w:rPr>
        <w:t xml:space="preserve">Giải pháp 1 không đặt ra quy định phân biệt đối xử theo dân tộc hoặc tôn giáo, do đó về nguyên tắc không ảnh hưởng đến quyền được đối xử bình đẳng giữa các dân tộc và không làm thay đổi quyền tự do tín ngưỡng, tôn giáo; đồng thời, việc chuẩn hóa quy trình, làm rõ trách nhiệm giải trình, tăng công khai, minh bạch và thiết lập cơ chế tiếp nhận, xử lý kiến nghị góp phần hạn chế nguy cơ áp dụng biện pháp kiểm soát tùy tiện hoặc không thống nhất đối với mọi tổ chức, cá nhân, trong đó có các chủ thể hoạt động hợp pháp tại vùng đồng bào dân tộc thiểu số, vùng sâu, vùng xa, qua đó hỗ trợ tiếp cận thông tin, giảm chi phí tuân thủ và chi phí phát sinh khi thực hiện các hoạt động hợp pháp có liên quan như vận chuyển, giao dịch, tiếp nhận tài trợ. Về bảo tồn và phát huy giá trị truyền thống của các dân tộc, giải pháp này không điều chỉnh trực tiếp các nội dung văn hóa - xã hội nên không làm phát sinh tác động hạn chế, ngược lại việc bảo đảm thủ tục và quyền trong thực thi tạo môi trường ổn định, minh bạch cho các hoạt động hợp pháp của cộng đồng, qua đó gián tiếp hỗ trợ việc duy trì, phát huy bản sắc và các giá trị truyền thống; đối với cơ hội phát triển tại vùng đồng bào dân tộc thiểu số, vùng sâu, vùng xa, tác động trực tiếp không rõ nét do phạm vi điều chỉnh chủ yếu là tổ chức thi hành, nhưng việc phối hợp và cung cấp thông tin được chuẩn hóa, minh bạch và thuận lợi hơn có khả năng tạo điều kiện cho các chủ thể ở các khu vực này tham gia hoạt động hợp pháp bình đẳng hơn so với các khu vực khác. </w:t>
      </w:r>
    </w:p>
    <w:p w14:paraId="58EFB77D" w14:textId="77777777" w:rsidR="00F33B58" w:rsidRPr="00086837" w:rsidRDefault="00F33B58" w:rsidP="002E638F">
      <w:pPr>
        <w:spacing w:before="60" w:line="276" w:lineRule="auto"/>
        <w:ind w:firstLine="720"/>
        <w:jc w:val="both"/>
        <w:rPr>
          <w:bCs/>
        </w:rPr>
      </w:pPr>
      <w:r w:rsidRPr="00086837">
        <w:rPr>
          <w:bCs/>
        </w:rPr>
        <w:t>- Đối với văn hóa, giáo dục:</w:t>
      </w:r>
    </w:p>
    <w:p w14:paraId="7F5F11E5" w14:textId="77777777" w:rsidR="00F33B58" w:rsidRPr="00086837" w:rsidRDefault="00F33B58" w:rsidP="002E638F">
      <w:pPr>
        <w:spacing w:before="60" w:line="276" w:lineRule="auto"/>
        <w:ind w:firstLine="720"/>
        <w:jc w:val="both"/>
        <w:rPr>
          <w:bCs/>
        </w:rPr>
      </w:pPr>
      <w:r w:rsidRPr="00086837">
        <w:rPr>
          <w:bCs/>
        </w:rPr>
        <w:t xml:space="preserve">Giải pháp 1 chỉ sửa đổi cơ chế tổ chức thực thi nên không điều chỉnh trực tiếp các quan hệ về văn hóa và giáo dục, vì vậy về nguyên tắc không tạo ra tác động trực tiếp đến việc bảo tồn, phát huy di sản văn hóa vật thể, phi vật thể; điều kiện tham gia sáng tạo và hưởng thụ đời sống văn hóa tinh thần; chuẩn mực đạo </w:t>
      </w:r>
      <w:r w:rsidRPr="00086837">
        <w:rPr>
          <w:bCs/>
        </w:rPr>
        <w:lastRenderedPageBreak/>
        <w:t>đức, lối sống, văn hóa gia đình, cộng đồng và không làm thay đổi mục tiêu, nội dung, phương pháp, chương trình, cơ hội học tập trong hệ thống giáo dục, đào tạo. Nếu có tác động, cũng chỉ theo hướng gián tiếp: việc chuẩn hóa quy trình, công khai, minh bạch thủ tục, làm rõ trách nhiệm giải trình và cơ chế tiếp nhận, xử lý kiến nghị giúp tạo môi trường pháp lý ổn định, hạn chế nguy cơ áp dụng biện pháp kiểm soát tùy tiện, hỗ trợ các cơ sở văn hóa, giáo dục và tổ chức, cá nhân tham gia giao lưu, hợp tác được thuận lợi hơn khi tiếp nhận tài trợ, chuyển giao thiết bị, vật tư phục vụ nghiên cứu, đào tạo hoặc hợp tác quốc tế.</w:t>
      </w:r>
    </w:p>
    <w:p w14:paraId="7D3E7613" w14:textId="77777777" w:rsidR="00F33B58" w:rsidRPr="00086837" w:rsidRDefault="00F33B58" w:rsidP="002E638F">
      <w:pPr>
        <w:spacing w:before="60" w:line="276" w:lineRule="auto"/>
        <w:ind w:firstLine="720"/>
        <w:jc w:val="both"/>
        <w:rPr>
          <w:bCs/>
        </w:rPr>
      </w:pPr>
      <w:r w:rsidRPr="00086837">
        <w:rPr>
          <w:bCs/>
        </w:rPr>
        <w:t xml:space="preserve">- Đối với y tế: </w:t>
      </w:r>
    </w:p>
    <w:p w14:paraId="6044A8B7" w14:textId="77777777" w:rsidR="00F33B58" w:rsidRPr="00086837" w:rsidRDefault="00F33B58" w:rsidP="002E638F">
      <w:pPr>
        <w:spacing w:before="60" w:line="276" w:lineRule="auto"/>
        <w:ind w:firstLine="720"/>
        <w:jc w:val="both"/>
        <w:rPr>
          <w:bCs/>
        </w:rPr>
      </w:pPr>
      <w:r w:rsidRPr="00086837">
        <w:rPr>
          <w:bCs/>
        </w:rPr>
        <w:t>Giải pháp 1 không sửa đổi trực tiếp các quy định về dịch vụ y tế, bảo hiểm y tế, tổ chức hệ thống khám bệnh, chữa bệnh hay quản lý vệ sinh an toàn thực phẩm, nên không tác động rõ nét tới chất lượng dịch vụ y tế, chăm sóc sức khỏe cộng đồng, phòng chống dịch bệnh và các chính sách bảo hiểm y tế. Tuy nhiên, do công tác phòng, chống phổ biến WMD liên quan tới an toàn sinh học và kiểm soát một số tác nhân, vật tư, thiết bị nhạy cảm, việc chuẩn hóa quy trình phối hợp, chia sẻ thông tin, làm rõ trách nhiệm giải trình và thủ tục bảo đảm quyền có thể tạo tác động gián tiếp tích cực đối với công tác phòng, chống dịch bệnh và an toàn y tế dự phòng, nhất là trong những tình huống cần phối hợp liên ngành để kiểm soát, truy vết, xử lý thất thoát hoặc sử dụng sai mục đích tác nhân sinh học. Cơ chế công khai, minh bạch và xử lý nhầm lẫn còn giúp hạn chế gián đoạn không cần thiết đối với các hoạt động hợp pháp của cơ sở xét nghiệm, cơ sở nghiên cứu y sinh và đơn vị cung ứng vật tư, thiết bị y tế khi nhập khẩu, vận chuyển hoặc tiếp nhận tài trợ. Mặt khác, một số cơ sở thuộc nhóm rủi ro cao liên quan tới tác nhân sinh học, độc tố, hóa chất, thiết bị nhạy cảm có thể phải đáp ứng thêm yêu cầu về hồ sơ, lưu trữ, báo cáo và phối hợp kiểm tra theo quy trình chuẩn; tuy nhiên, các chi phí hành chính tăng thêm này có xu hướng được bù đắp bởi lợi ích giảm rủi ro an ninh sinh học và rủi ro pháp lý, qua đó giúp bảo đảm tính liên tục và an toàn cho hoạt động của hệ thống y tế.</w:t>
      </w:r>
    </w:p>
    <w:p w14:paraId="45097163" w14:textId="77777777" w:rsidR="00F33B58" w:rsidRPr="00086837" w:rsidRDefault="00F33B58" w:rsidP="002E638F">
      <w:pPr>
        <w:spacing w:before="60" w:line="276" w:lineRule="auto"/>
        <w:ind w:firstLine="720"/>
        <w:jc w:val="both"/>
        <w:rPr>
          <w:bCs/>
        </w:rPr>
      </w:pPr>
      <w:r w:rsidRPr="00086837">
        <w:rPr>
          <w:bCs/>
        </w:rPr>
        <w:t>- Đối với môi trường:</w:t>
      </w:r>
    </w:p>
    <w:p w14:paraId="164FB4F0" w14:textId="77777777" w:rsidR="00F33B58" w:rsidRPr="00086837" w:rsidRDefault="00F33B58" w:rsidP="002E638F">
      <w:pPr>
        <w:spacing w:before="60" w:line="276" w:lineRule="auto"/>
        <w:ind w:firstLine="720"/>
        <w:jc w:val="both"/>
        <w:rPr>
          <w:bCs/>
        </w:rPr>
      </w:pPr>
      <w:r w:rsidRPr="00086837">
        <w:rPr>
          <w:bCs/>
        </w:rPr>
        <w:t xml:space="preserve">Giải pháp 1 chỉ tập trung hoàn thiện quy trình tổ chức thực thi và kiểm soát rủi ro nên không điều chỉnh trực tiếp các chính sách về bảo vệ môi trường, quản lý chất thải, đánh giá tác động môi trường hay các tiêu chuẩn, quy chuẩn môi trường, do đó tác động trực tiếp tới tài nguyên thiên nhiên, chất lượng môi trường (không khí, đất, nước, tiếng ồn, bức xạ, ánh sáng), đa dạng sinh học và hệ sinh thái chưa rõ nét. Tuy nhiên, vì phòng, chống phổ biến WMD liên quan tới việc kiểm soát một số vật liệu, hóa chất, tác nhân sinh học và thiết bị nhạy cảm, việc chuẩn hóa quy trình phối hợp, chia sẻ thông tin, trách nhiệm giải trình và thủ tục xử lý có thể tạo tác động gián tiếp tích cực: giúp phòng ngừa, phát </w:t>
      </w:r>
      <w:r w:rsidRPr="00086837">
        <w:rPr>
          <w:bCs/>
        </w:rPr>
        <w:lastRenderedPageBreak/>
        <w:t>hiện và xử lý kịp thời các sự cố thất thoát, rò rỉ, vận chuyển trái phép hoặc sử dụng sai mục đích các yếu tố nguy hiểm, từ đó giảm nguy cơ gây ô nhiễm môi trường, suy thoái tài nguyên và tổn hại hệ sinh thái. Mặt khác, một số cơ sở thuộc nhóm rủi ro cao (hóa chất, sinh học, vật liệu phóng xạ) phải tuân thủ thêm yêu cầu về hồ sơ, lưu trữ, báo cáo và phối hợp kiểm tra; những yêu cầu này làm tăng chi phí tuân thủ hành chính ở mức nhất định nhưng có xu hướng được bù đắp bởi lợi ích giảm rủi ro sự cố và giảm thiệt hại môi trường nếu xảy ra vi phạm hoặc sự cố nghiêm trọng.</w:t>
      </w:r>
    </w:p>
    <w:p w14:paraId="0ADD2A17" w14:textId="77777777" w:rsidR="00F33B58" w:rsidRPr="00086837" w:rsidRDefault="00F33B58" w:rsidP="002E638F">
      <w:pPr>
        <w:spacing w:before="60" w:line="276" w:lineRule="auto"/>
        <w:ind w:firstLine="720"/>
        <w:jc w:val="both"/>
        <w:rPr>
          <w:bCs/>
        </w:rPr>
      </w:pPr>
      <w:r w:rsidRPr="00086837">
        <w:rPr>
          <w:bCs/>
        </w:rPr>
        <w:t>- Đối với quốc phòng, an ninh:</w:t>
      </w:r>
    </w:p>
    <w:p w14:paraId="61A47218" w14:textId="77777777" w:rsidR="00F33B58" w:rsidRPr="00086837" w:rsidRDefault="00F33B58" w:rsidP="002E638F">
      <w:pPr>
        <w:spacing w:before="60" w:line="276" w:lineRule="auto"/>
        <w:ind w:firstLine="720"/>
        <w:jc w:val="both"/>
        <w:rPr>
          <w:bCs/>
        </w:rPr>
      </w:pPr>
      <w:r w:rsidRPr="00086837">
        <w:rPr>
          <w:bCs/>
        </w:rPr>
        <w:t>Về quốc phòng và an ninh, sửa đổi Nghị định 81/2019 theo hướng chuẩn hóa đầu mối, quy trình phối hợp, chế độ trao đổi thông tin và trách nhiệm giải trình trong phòng, chống phổ biến WMD được đánh giá là có tác động tích cực ở mức độ nhất định: việc làm rõ quy trình xử lý tình huống và cơ chế phối hợp tại những khu vực trọng yếu như cửa khẩu, vùng biên giới, hải đảo và các khu vực có vị trí chiến lược sẽ giúp nâng cao năng lực phát hiện, ngăn chặn hành vi vi phạm, góp phần bảo vệ chủ quyền, lợi ích quốc gia và tăng cường tiềm lực quốc phòng, an ninh, đồng thời hỗ trợ kiểm soát các nguy cơ an ninh phi truyền thống liên quan đến tác nhân sinh học, hóa chất và vật liệu phóng xạ. Tuy nhiên, do đây là văn bản dưới luật, Giải pháp 1 chưa thiết lập được khung pháp lý đủ mạnh và thống nhất để kiểm soát rủi ro phổ biến WMD trên phạm vi liên ngành; nhiều công cụ quan trọng gắn trực tiếp với yêu cầu quốc phòng, an ninh (như chuẩn cấm, thẩm quyền cưỡng chế, chế tài đủ sức răn đe, cơ chế phong tỏa tài sản “không chậm trễ”, chuẩn kiểm soát rủi ro tại biên giới) cần được luật hóa; đồng thời, việc thiếu khung dữ liệu dùng chung và chuẩn hóa phân loại, phân quyền khiến tăng cường chia sẻ thông tin có thể làm nảy sinh rủi ro đối với bảo vệ bí mật nhà nước, an ninh mạng và an ninh thông tin. Hiệu quả thực thi còn phụ thuộc vào nguồn lực, năng lực kỹ thuật và mức độ phối hợp của các cơ quan chức năng; Nghị định khó tạo ra cơ chế bảo đảm nguồn lực ổn định cũng như cơ chế kiểm soát chất lượng thực thi đủ mạnh.</w:t>
      </w:r>
    </w:p>
    <w:p w14:paraId="7CB9F654" w14:textId="77777777" w:rsidR="00F33B58" w:rsidRPr="00086837" w:rsidRDefault="00F33B58" w:rsidP="002E638F">
      <w:pPr>
        <w:spacing w:before="60" w:line="276" w:lineRule="auto"/>
        <w:ind w:firstLine="720"/>
        <w:jc w:val="both"/>
        <w:rPr>
          <w:bCs/>
        </w:rPr>
      </w:pPr>
      <w:r w:rsidRPr="00086837">
        <w:rPr>
          <w:bCs/>
        </w:rPr>
        <w:t>- Đối với phân cấp, phân quyền:</w:t>
      </w:r>
    </w:p>
    <w:p w14:paraId="052BFF23" w14:textId="77777777" w:rsidR="00F33B58" w:rsidRPr="00086837" w:rsidRDefault="00F33B58" w:rsidP="002E638F">
      <w:pPr>
        <w:spacing w:before="60" w:line="276" w:lineRule="auto"/>
        <w:ind w:firstLine="720"/>
        <w:jc w:val="both"/>
      </w:pPr>
      <w:r w:rsidRPr="00086837">
        <w:rPr>
          <w:bCs/>
        </w:rPr>
        <w:t xml:space="preserve">Giải pháp này có tác động hướng tới tăng tính chủ động và tự chịu trách nhiệm của các cơ quan, tổ chức khi thực hiện nhiệm vụ phòng, chống phổ biến và tài trợ phổ biến WMD. Thực tiễn tổ chức bộ máy cho thấy, hiện nay nhiệm vụ liên quan đến kiểm soát xuất khẩu, quản lý thương mại, hải quan, công an, quốc phòng và khoa học - công nghệ trải rộng ở trên 10 bộ, ngành trung ương và 34 tỉnh, thành phố, với </w:t>
      </w:r>
      <w:r w:rsidRPr="00086837">
        <w:t xml:space="preserve">3321 đơn vị hành chính cấp xã (gồm xã, phường và đặc khu) </w:t>
      </w:r>
      <w:r w:rsidRPr="00086837">
        <w:rPr>
          <w:bCs/>
        </w:rPr>
        <w:t xml:space="preserve">có cửa khẩu, cảng biển, khu công nghiệp hoặc địa bàn trọng điểm về thương mại. Điều này làm gia tăng yêu cầu phối hợp liên ngành và liên cấp. </w:t>
      </w:r>
      <w:r w:rsidRPr="00086837">
        <w:rPr>
          <w:bCs/>
        </w:rPr>
        <w:lastRenderedPageBreak/>
        <w:t>Theo số liệu cải cách hành chính giai đoạn 2021-2024, khoảng 60-70% thủ tục hành chính đã được phân cấp hoặc ủy quyền giải quyết tại địa phương, tuy nhiên mức độ chuẩn hóa quy trình và thống nhất biểu mẫu giữa các địa phương còn chênh lệch; chỉ khoảng 50-55% quy trình có hướng dẫn liên thông rõ ràng giữa các cơ quan chuyên ngành</w:t>
      </w:r>
      <w:r w:rsidRPr="00086837">
        <w:rPr>
          <w:rStyle w:val="FootnoteReference"/>
          <w:bCs/>
        </w:rPr>
        <w:footnoteReference w:id="48"/>
      </w:r>
      <w:r w:rsidRPr="00086837">
        <w:rPr>
          <w:bCs/>
        </w:rPr>
        <w:t>. Trong lĩnh vực kiểm tra chuyên ngành đối với hàng hóa xuất nhập khẩu, trước cải cách, thời gian xử lý trung bình có thể kéo dài 7-10 ngày, sau khi đơn giản hóa thủ tục giảm còn khoảng 3-5 ngày, nhưng tại một số địa bàn vẫn phát sinh tình trạng yêu cầu bổ sung hồ sơ do khác biệt trong cách hiểu và áp dụng quy định</w:t>
      </w:r>
      <w:r w:rsidRPr="00086837">
        <w:rPr>
          <w:rStyle w:val="FootnoteReference"/>
          <w:bCs/>
        </w:rPr>
        <w:footnoteReference w:id="49"/>
      </w:r>
      <w:r w:rsidRPr="00086837">
        <w:rPr>
          <w:bCs/>
        </w:rPr>
        <w:t>. Ngoài ra, theo Chỉ số cải cách hành chính (PAR Index) và Chỉ số hiệu quả quản trị và hành chính công (PAPI) các năm gần đây, sự chênh lệch giữa các địa phương về năng lực thực thi, minh bạch và trách nhiệm giải trình có thể dao động 10-15 điểm phần trăm, phản ánh mức độ không đồng đều về năng lực khi thực hiện phân cấp, phân quyền</w:t>
      </w:r>
      <w:r w:rsidRPr="00086837">
        <w:rPr>
          <w:rStyle w:val="FootnoteReference"/>
          <w:bCs/>
        </w:rPr>
        <w:footnoteReference w:id="50"/>
      </w:r>
      <w:r w:rsidRPr="00086837">
        <w:rPr>
          <w:bCs/>
        </w:rPr>
        <w:t>. Điều kiện bảo đảm thực hiện phân cấp phụ thuộc đáng kể vào nguồn lực nhân sự: trong khi tổng biên chế hành chính nhà nước có xu hướng tinh giản bình quân 1,5 -2%/năm, thì khối lượng nhiệm vụ kiểm soát chuyên ngành và quản lý rủi ro ngày càng gia tăng theo tốc độ tăng trưởng thương mại (kim ngạch xuất nhập khẩu tăng bình quân 8-10%/năm giai đoạn gần đây)</w:t>
      </w:r>
      <w:r w:rsidRPr="00086837">
        <w:rPr>
          <w:rStyle w:val="FootnoteReference"/>
          <w:bCs/>
        </w:rPr>
        <w:footnoteReference w:id="51"/>
      </w:r>
      <w:r w:rsidRPr="00086837">
        <w:rPr>
          <w:bCs/>
        </w:rPr>
        <w:t>.</w:t>
      </w:r>
    </w:p>
    <w:p w14:paraId="03E796B1" w14:textId="58FA497E" w:rsidR="00F33B58" w:rsidRPr="00086837" w:rsidRDefault="00F33B58" w:rsidP="002E638F">
      <w:pPr>
        <w:spacing w:before="60" w:line="276" w:lineRule="auto"/>
        <w:ind w:firstLine="720"/>
        <w:jc w:val="both"/>
        <w:rPr>
          <w:bCs/>
        </w:rPr>
      </w:pPr>
      <w:r w:rsidRPr="00086837">
        <w:rPr>
          <w:bCs/>
        </w:rPr>
        <w:t>Do đó, mặc dù sửa đổi Nghị định 81</w:t>
      </w:r>
      <w:r w:rsidR="00FC7F6F">
        <w:rPr>
          <w:bCs/>
        </w:rPr>
        <w:t>/</w:t>
      </w:r>
      <w:r w:rsidRPr="00086837">
        <w:rPr>
          <w:bCs/>
        </w:rPr>
        <w:t>2019/NĐ-CP có thể cải thiện cơ chế báo cáo, tiêu chí theo dõi và trách nhiệm giải trình, song nếu không đồng thời quy định rõ ranh giới thẩm quyền, cơ chế phối hợp bắt buộc và chuẩn hóa quy trình liên thông dữ liệu, nguy cơ chồng chéo hoặc bỏ sót trách nhiệm giữa các cấp vẫn còn hiện hữu. Tác động của giải pháp đối với phân cấp, phân quyền vì vậy mang tính hỗ trợ về tổ chức thực hiện, nhưng chưa đủ để khắc phục triệt để những bất cập mang tính cấu trúc giữa các luật chuyên ngành và cơ chế điều phối liên ngành.</w:t>
      </w:r>
    </w:p>
    <w:p w14:paraId="668CC7E2" w14:textId="77777777" w:rsidR="00F33B58" w:rsidRPr="00086837" w:rsidRDefault="00F33B58" w:rsidP="002E638F">
      <w:pPr>
        <w:spacing w:before="60" w:line="276" w:lineRule="auto"/>
        <w:ind w:firstLine="720"/>
        <w:jc w:val="both"/>
        <w:rPr>
          <w:bCs/>
        </w:rPr>
      </w:pPr>
      <w:r w:rsidRPr="00086837">
        <w:rPr>
          <w:bCs/>
        </w:rPr>
        <w:t>Thực tiễn tại một cửa khẩu cho thấy khi có nhiều văn bản điều chỉnh (ví dụ Nghị định 259/2025/NĐ</w:t>
      </w:r>
      <w:r w:rsidRPr="00086837">
        <w:rPr>
          <w:bCs/>
        </w:rPr>
        <w:noBreakHyphen/>
        <w:t>CP về thương mại và Nghị định 81/2019/NĐ</w:t>
      </w:r>
      <w:r w:rsidRPr="00086837">
        <w:rPr>
          <w:bCs/>
        </w:rPr>
        <w:noBreakHyphen/>
        <w:t>CP về kiểm soát biên giới), nếu quy trình phối hợp chưa được chuẩn hóa, doanh nghiệp có thể bị yêu cầu cung cấp lại hồ sơ hoặc xảy ra bỏ sót trách nhiệm, kéo dài thời gian xử lý; việc sửa Nghị định 81/2019/NĐ-CP theo Giải pháp 1 có thể cải thiện khâu đầu mối, quy trình, thời hạn và trách nhiệm giải trình, nhưng vẫn không thể giải quyết dứt điểm sự chồng chéo giữa các luật chuyên ngành.</w:t>
      </w:r>
    </w:p>
    <w:p w14:paraId="41DD2329" w14:textId="77777777" w:rsidR="00F33B58" w:rsidRPr="00086837" w:rsidRDefault="00F33B58" w:rsidP="002E638F">
      <w:pPr>
        <w:spacing w:before="60" w:line="276" w:lineRule="auto"/>
        <w:ind w:firstLine="720"/>
        <w:jc w:val="both"/>
        <w:rPr>
          <w:bCs/>
        </w:rPr>
      </w:pPr>
      <w:r w:rsidRPr="00086837">
        <w:rPr>
          <w:bCs/>
        </w:rPr>
        <w:t>- Đối với khoa học, công nghệ, đổi mới sáng tạo và chuyển đổi số:</w:t>
      </w:r>
    </w:p>
    <w:p w14:paraId="5B9AB19C" w14:textId="77777777" w:rsidR="00F33B58" w:rsidRPr="00086837" w:rsidRDefault="00F33B58" w:rsidP="002E638F">
      <w:pPr>
        <w:spacing w:before="60" w:line="276" w:lineRule="auto"/>
        <w:ind w:firstLine="720"/>
        <w:jc w:val="both"/>
        <w:rPr>
          <w:bCs/>
        </w:rPr>
      </w:pPr>
      <w:r w:rsidRPr="00086837">
        <w:rPr>
          <w:bCs/>
        </w:rPr>
        <w:lastRenderedPageBreak/>
        <w:t>Giải pháp 1 (sửa đổi, bổ sung Nghị định 81/2019/NĐ-CP) được đánh giá có tác động tích cực ở mức độ nhất định đối với khoa học, công nghệ, đổi mới sáng tạo và chuyển đổi số, chủ yếu thông qua cải thiện khâu tổ chức thực hiện theo hướng số hóa và liên thông. Thực tiễn cho thấy, đến năm 2024, khoảng 70 -80% thủ tục hành chính thuộc phạm vi quản lý nhà nước đã được cung cấp trực tuyến mức độ 3, 4, trong đó tỷ lệ hồ sơ xử lý hoàn toàn trực tuyến đạt trên 50%</w:t>
      </w:r>
      <w:r w:rsidRPr="00086837">
        <w:rPr>
          <w:rStyle w:val="FootnoteReference"/>
          <w:bCs/>
        </w:rPr>
        <w:footnoteReference w:id="52"/>
      </w:r>
      <w:r w:rsidRPr="00086837">
        <w:rPr>
          <w:bCs/>
        </w:rPr>
        <w:t>. Nghị định 81/2019/NĐ-CP đặt nền tảng cho thiết lập trang thông tin điện tử và đường dây nóng kết nối các đầu mối cập nhật, trao đổi thông tin phục vụ phòng, chống phổ biến và tài trợ phổ biến WMD góp phần giảm thời gian luân chuyển thông tin liên ngành từ trung bình 3-5 ngày xuống còn 1-2 ngày làm việc trong một số quy trình phối hợp nội bộ. Bên cạnh đó, theo Chỉ số chuyển đổi số quốc gia (DTI) năm 2023, khối cơ quan nhà nước đạt mức tăng trưởng trung bình 15-20%/năm về mức độ sẵn sàng dữ liệu số và hạ tầng dùng chung. Tuy nhiên, tỷ lệ cơ sở dữ liệu chuyên ngành được kết nối, chia sẻ đồng bộ trên nền tảng tích hợp, chia sẻ dữ liệu quốc gia mới đạt khoảng 30-40%, cho thấy khả năng hình thành hệ thống dữ liệu dùng chung có tính bắt buộc trên toàn hệ thống vẫn còn hạn chế</w:t>
      </w:r>
      <w:r w:rsidRPr="00086837">
        <w:rPr>
          <w:rStyle w:val="FootnoteReference"/>
          <w:bCs/>
        </w:rPr>
        <w:footnoteReference w:id="53"/>
      </w:r>
      <w:r w:rsidRPr="00086837">
        <w:rPr>
          <w:bCs/>
        </w:rPr>
        <w:t>. Đối với đầu tư cho khoa học - công nghệ, tổng chi cho nghiên cứu và phát triển (R&amp;D) của Việt Nam hiện dao động khoảng 0,5-0,6% GDP, thấp hơn mức trung bình của các nước ASEAN-5 (khoảng 1-2% GDP)</w:t>
      </w:r>
      <w:r w:rsidRPr="00086837">
        <w:rPr>
          <w:rStyle w:val="FootnoteReference"/>
          <w:bCs/>
        </w:rPr>
        <w:footnoteReference w:id="54"/>
      </w:r>
      <w:r w:rsidRPr="00086837">
        <w:rPr>
          <w:bCs/>
        </w:rPr>
        <w:t>. Riêng đầu tư cho chuyển đổi số toàn quốc ước đạt khoảng 2% GDP/năm, nhưng phân bổ cho các lĩnh vực đặc thù như phòng, chống phổ biến WMD còn chiếm tỷ trọng rất nhỏ trong tổng ngân sách khoa học - công nghệ</w:t>
      </w:r>
      <w:r w:rsidRPr="00086837">
        <w:rPr>
          <w:rStyle w:val="FootnoteReference"/>
          <w:bCs/>
        </w:rPr>
        <w:footnoteReference w:id="55"/>
      </w:r>
      <w:r w:rsidRPr="00086837">
        <w:rPr>
          <w:bCs/>
        </w:rPr>
        <w:t>. Ngoài ra, theo thống kê của Bộ Khoa học và Công nghệ, số lượng doanh nghiệp khoa học - công nghệ được chứng nhận đến năm 2024 đạt khoảng 800-900 doanh nghiệp, song doanh nghiệp tham gia trực tiếp vào các lĩnh vực công nghệ kiểm soát xuất khẩu, an ninh sinh học, hóa học và hạt nhân còn hạn chế</w:t>
      </w:r>
      <w:r w:rsidRPr="00086837">
        <w:rPr>
          <w:rStyle w:val="FootnoteReference"/>
          <w:bCs/>
        </w:rPr>
        <w:footnoteReference w:id="56"/>
      </w:r>
      <w:r w:rsidRPr="00086837">
        <w:rPr>
          <w:bCs/>
        </w:rPr>
        <w:t>. Việc mở rộng chia sẻ dữ liệu và số hóa trong lĩnh vực này vẫn chịu ràng buộc bởi quy định bảo vệ bí mật nhà nước và yêu cầu an ninh quốc gia; hiện nay khoảng 20-30% dữ liệu chuyên ngành thuộc diện hạn chế chia sẻ theo phân loại bảo mật.</w:t>
      </w:r>
    </w:p>
    <w:p w14:paraId="589CA615" w14:textId="77777777" w:rsidR="00F33B58" w:rsidRPr="00086837" w:rsidRDefault="00F33B58" w:rsidP="002E638F">
      <w:pPr>
        <w:spacing w:before="60" w:line="276" w:lineRule="auto"/>
        <w:ind w:firstLine="720"/>
        <w:jc w:val="both"/>
        <w:rPr>
          <w:bCs/>
        </w:rPr>
      </w:pPr>
      <w:r w:rsidRPr="00086837">
        <w:rPr>
          <w:bCs/>
        </w:rPr>
        <w:t xml:space="preserve">Tuy nhiên, do phạm vi nghị định chủ yếu tập trung vào hoàn thiện “cách thức tổ chức thực hiện”, tác động thúc đẩy chuyển đổi số mang tính nền tảng còn hạn chế: khả năng hình thành một hệ thống dữ liệu dùng chung có tính bắt buộc trên toàn hệ thống (chuẩn dữ liệu, phân quyền truy cập, kết nối liên thông, cơ chế đầu tư và vận hành) chưa rõ nét; việc mở rộng chia sẻ dữ liệu và số hóa </w:t>
      </w:r>
      <w:r w:rsidRPr="00086837">
        <w:rPr>
          <w:bCs/>
        </w:rPr>
        <w:lastRenderedPageBreak/>
        <w:t>còn chịu giới hạn bởi tính nhạy cảm của thông tin và yêu cầu tuân thủ bảo vệ bí mật nhà nước khi trao đổi, cung cấp thông tin. Ngoài ra, các vướng mắc do khác biệt giữa các luật chuyên ngành liên quan tiếp tục là yếu tố hạn chế khả năng tạo tác động sâu rộng của giải pháp này đối với đổi mới sáng tạo và chuyển đổi số trong lĩnh vực phòng, chống phổ biến WMD.</w:t>
      </w:r>
    </w:p>
    <w:p w14:paraId="0C9C4980" w14:textId="77777777" w:rsidR="00F33B58" w:rsidRPr="00086837" w:rsidRDefault="00F33B58" w:rsidP="002E638F">
      <w:pPr>
        <w:spacing w:before="60" w:line="276" w:lineRule="auto"/>
        <w:ind w:firstLine="720"/>
        <w:jc w:val="both"/>
        <w:rPr>
          <w:bCs/>
        </w:rPr>
      </w:pPr>
      <w:r w:rsidRPr="00086837">
        <w:rPr>
          <w:bCs/>
        </w:rPr>
        <w:t>- Đối với các nội dung khác của kinh tế - xã hội:</w:t>
      </w:r>
    </w:p>
    <w:p w14:paraId="62BC6D1E" w14:textId="77777777" w:rsidR="00F33B58" w:rsidRPr="00086837" w:rsidRDefault="00F33B58" w:rsidP="002E638F">
      <w:pPr>
        <w:spacing w:before="60" w:line="276" w:lineRule="auto"/>
        <w:ind w:firstLine="720"/>
        <w:jc w:val="both"/>
        <w:rPr>
          <w:bCs/>
        </w:rPr>
      </w:pPr>
      <w:r w:rsidRPr="00086837">
        <w:rPr>
          <w:bCs/>
        </w:rPr>
        <w:t>Giải pháp 1, ngoài các tác động đã phân tích đối với sản xuất, kinh doanh và việc làm, được đánh giá là tạo tác động đối với kinh tế - xã hội theo hướng tăng tính minh bạch, ổn định và khả năng dự liệu trong quản lý nhà nước, qua đó hỗ trợ môi trường kinh tế - xã hội nói chung. Việc chuẩn hóa quy trình phối hợp, trách nhiệm giải trình và cơ chế xử lý nhầm lẫn, kiến nghị góp phần giảm chi phí giao dịch, giảm phát sinh tranh chấp và tăng niềm tin của tổ chức, cá nhân khi tham gia các hoạt động hợp pháp có liên quan. Đồng thời, cải thiện cơ chế phối hợp và chia sẻ thông tin hỗ trợ quản trị rủi ro liên ngành, nâng hiệu quả phòng ngừa sớm đối với rủi ro an ninh phi truyền thống, qua đó hạn chế thiệt hại xã hội nếu xảy ra sự cố nghiêm trọng. Tuy nhiên, do giải pháp chỉ sửa nghị định, tác động tích cực chủ yếu dừng ở khâu tổ chức thực hiện; khả năng tạo thay đổi sâu rộng đối với các vấn đề nền tảng như cơ chế cưỡng chế, chế tài, nguồn lực ổn định và dữ liệu dùng chung còn hạn chế, nên hiệu quả thực tế phụ thuộc đáng kể vào mức độ triển khai đồng bộ, năng lực phối hợp và nguồn lực của các cơ quan liên quan; việc đánh giá chủ yếu mang tính định tính do thiếu bộ chỉ số và số liệu thống kê chuẩn hóa để đo lường các tác động xã hội liên quan.</w:t>
      </w:r>
    </w:p>
    <w:p w14:paraId="71B30BE2" w14:textId="77777777" w:rsidR="00F33B58" w:rsidRPr="00086837" w:rsidRDefault="00F33B58" w:rsidP="002E638F">
      <w:pPr>
        <w:spacing w:before="60" w:line="276" w:lineRule="auto"/>
        <w:ind w:firstLine="720"/>
        <w:jc w:val="both"/>
        <w:rPr>
          <w:bCs/>
        </w:rPr>
      </w:pPr>
      <w:r w:rsidRPr="00086837">
        <w:rPr>
          <w:bCs/>
        </w:rPr>
        <w:t xml:space="preserve">c) Tác động về giới </w:t>
      </w:r>
    </w:p>
    <w:p w14:paraId="7CDBE432" w14:textId="77777777" w:rsidR="00F33B58" w:rsidRPr="00086837" w:rsidRDefault="00F33B58" w:rsidP="002E638F">
      <w:pPr>
        <w:spacing w:before="60" w:line="276" w:lineRule="auto"/>
        <w:ind w:firstLine="720"/>
        <w:jc w:val="both"/>
        <w:rPr>
          <w:bCs/>
        </w:rPr>
      </w:pPr>
      <w:r w:rsidRPr="00086837">
        <w:rPr>
          <w:bCs/>
        </w:rPr>
        <w:t>Giải pháp 1 không phát sinh tác động về giới, vì nội dung sửa đổi, bổ sung chủ yếu tập trung vào hoàn thiện hệ nguyên tắc và cơ chế bảo đảm quyền, lợi ích hợp pháp của tổ chức, cá nhân thông qua chuẩn hóa quy trình, làm rõ thẩm quyền, trách nhiệm và cơ chế phối hợp, tăng minh bạch và khả năng dự liệu trong tổ chức thi hành; các quy định dự kiến áp dụng thống nhất đối với các chủ thể có liên quan và không đặt ra điều kiện, tiêu chí, quyền hoặc nghĩa vụ khác nhau theo giới tính, cũng như không thiết kế cơ chế ưu tiên hay hạn chế dựa trên giới, do đó không tạo khác biệt về quyền, nghĩa vụ, khả năng tiếp cận thông tin và điều kiện thực hiện quyền, nghĩa vụ giữa nam và nữ, đồng thời không làm phát sinh nguy cơ bất bình đẳng giới trong phạm vi điều chỉnh của nghị định.</w:t>
      </w:r>
    </w:p>
    <w:p w14:paraId="1ACE3F30" w14:textId="77777777" w:rsidR="00F33B58" w:rsidRPr="00086837" w:rsidRDefault="00F33B58" w:rsidP="002E638F">
      <w:pPr>
        <w:spacing w:before="60" w:line="276" w:lineRule="auto"/>
        <w:ind w:firstLine="720"/>
        <w:jc w:val="both"/>
        <w:rPr>
          <w:bCs/>
        </w:rPr>
      </w:pPr>
      <w:r w:rsidRPr="00086837">
        <w:rPr>
          <w:bCs/>
        </w:rPr>
        <w:t xml:space="preserve">d) Tác động của thủ tục hành chính </w:t>
      </w:r>
    </w:p>
    <w:p w14:paraId="755AD300" w14:textId="77777777" w:rsidR="00F33B58" w:rsidRPr="00086837" w:rsidRDefault="00F33B58" w:rsidP="002E638F">
      <w:pPr>
        <w:spacing w:before="60" w:line="276" w:lineRule="auto"/>
        <w:ind w:firstLine="720"/>
        <w:jc w:val="both"/>
        <w:rPr>
          <w:bCs/>
        </w:rPr>
      </w:pPr>
      <w:r w:rsidRPr="00086837">
        <w:rPr>
          <w:bCs/>
        </w:rPr>
        <w:t xml:space="preserve">Giải pháp 1 góp phần chuẩn hóa quy trình, tăng minh bạch và nâng khả năng dự liệu trong tổ chức thực hiện; theo đó, việc làm rõ nguyên tắc áp dụng, </w:t>
      </w:r>
      <w:r w:rsidRPr="00086837">
        <w:rPr>
          <w:bCs/>
        </w:rPr>
        <w:lastRenderedPageBreak/>
        <w:t xml:space="preserve">đầu mối xử lý, quy trình phối hợp, thời hạn giải quyết và trách nhiệm giải trình có thể giảm tình trạng xử lý không thống nhất, hạn chế yêu cầu cung cấp thông tin, hồ sơ lặp lại giữa các cơ quan và tạo cơ sở chuẩn hóa biểu mẫu, kênh tiếp nhận, cơ chế phản hồi đối với các quy trình liên ngành (tiếp nhận, xử lý thông tin nghi ngờ; xử lý nhầm lẫn; tiếp nhận, giải quyết kiến nghị; công bố, cập nhật thông tin phục vụ tuân thủ), qua đó tạo điều kiện thuận lợi để đơn giản hóa thao tác và từng bước số hóa các bước nghiệp vụ phù hợp (gửi, nhận thông tin, theo dõi trạng thái xử lý, trao đổi giữa cơ quan nhà nước với đối tượng tuân thủ), góp phần giảm chi phí thời gian và chi phí giao dịch. Tuy nhiên, do phạm vi sửa đổi tập trung vào hoàn thiện cơ chế tổ chức thực hiện trong khuôn khổ nghị định, tác động cải thiện chủ yếu đạt được ở khâu quy trình và phối hợp, chưa đủ để xử lý toàn bộ các vấn đề mang tính nền tảng hoặc phát sinh từ quy định của luật chuyên ngành; trong giai đoạn đầu triển khai có thể phát sinh chi phí chuyển đổi cho cơ quan nhà nước và các đối tượng liên quan (cập nhật quy trình nội bộ, tập huấn, điều chỉnh biểu mẫu, nâng cấp kênh tiếp nhận và xử lý thông tin), đồng thời nếu sửa đổi làm tăng nghĩa vụ báo cáo hoặc yêu cầu hồ sơ mà chưa gắn với cơ chế tái sử dụng dữ liệu và liên thông thông tin thì gánh nặng tuân thủ có thể tăng đối với một số nhóm đối tượng rủi ro cao; </w:t>
      </w:r>
      <w:r w:rsidRPr="00F444FF">
        <w:rPr>
          <w:bCs/>
        </w:rPr>
        <w:t>việc lượng hóa mức tăng, giảm về thời gian giải quyết và chi phí tuân thủ trong báo cáo được trình bày theo dải ước tính theo kịch bản/giả định dựa trên các số liệu, báo cáo, khảo sát đã dẫn; việc lượng hóa theo bộ chỉ số và dữ liệu thống kê chuẩn hóa sẽ được thực hiện trong giai đoạn tổ chức triển khai và tổng kết, đánh giá thi hành.</w:t>
      </w:r>
    </w:p>
    <w:p w14:paraId="385D9A8A" w14:textId="77777777" w:rsidR="00F33B58" w:rsidRPr="00086837" w:rsidRDefault="00F33B58" w:rsidP="002E638F">
      <w:pPr>
        <w:spacing w:before="60" w:line="276" w:lineRule="auto"/>
        <w:ind w:firstLine="720"/>
        <w:jc w:val="both"/>
        <w:rPr>
          <w:rFonts w:ascii="Times New Roman Italic" w:hAnsi="Times New Roman Italic"/>
          <w:bCs/>
          <w:i/>
          <w:spacing w:val="-2"/>
        </w:rPr>
      </w:pPr>
      <w:r w:rsidRPr="00086837">
        <w:rPr>
          <w:rFonts w:ascii="Times New Roman Italic" w:hAnsi="Times New Roman Italic"/>
          <w:bCs/>
          <w:i/>
          <w:spacing w:val="-2"/>
        </w:rPr>
        <w:t>2.2.2. Giải pháp 2: Xây dựng, ban hành khung pháp lý ở cấp luật để thiết lập hệ thống biện pháp quản lý, kiểm soát đặc thù đối với các hoạt động có nguy cơ dẫn đến phổ biến vũ khí hủy diệt hàng loạt theo cách tiếp cận dựa trên rủi ro và theo chuỗi, bảo đảm tính liên thông liên ngành và hiệu lực thi hành thống nhất</w:t>
      </w:r>
    </w:p>
    <w:p w14:paraId="79FE7D91" w14:textId="77777777" w:rsidR="00F33B58" w:rsidRPr="00086837" w:rsidRDefault="00F33B58" w:rsidP="002E638F">
      <w:pPr>
        <w:spacing w:before="60" w:line="276" w:lineRule="auto"/>
        <w:ind w:firstLine="720"/>
        <w:jc w:val="both"/>
        <w:rPr>
          <w:bCs/>
        </w:rPr>
      </w:pPr>
      <w:r w:rsidRPr="00086837">
        <w:rPr>
          <w:bCs/>
        </w:rPr>
        <w:t>a) Tác động đối với hệ thống pháp luật</w:t>
      </w:r>
    </w:p>
    <w:p w14:paraId="332410EC" w14:textId="77777777" w:rsidR="00F33B58" w:rsidRPr="00086837" w:rsidRDefault="00F33B58" w:rsidP="002E638F">
      <w:pPr>
        <w:spacing w:before="60" w:line="276" w:lineRule="auto"/>
        <w:ind w:firstLine="720"/>
        <w:jc w:val="both"/>
        <w:rPr>
          <w:bCs/>
        </w:rPr>
      </w:pPr>
      <w:r w:rsidRPr="00086837">
        <w:rPr>
          <w:bCs/>
        </w:rPr>
        <w:t>- Tính hợp hiến của chính sách:</w:t>
      </w:r>
    </w:p>
    <w:p w14:paraId="09AA0148" w14:textId="77777777" w:rsidR="00F33B58" w:rsidRPr="00086837" w:rsidRDefault="00F33B58" w:rsidP="002E638F">
      <w:pPr>
        <w:spacing w:before="60" w:line="276" w:lineRule="auto"/>
        <w:ind w:firstLine="720"/>
        <w:jc w:val="both"/>
        <w:rPr>
          <w:bCs/>
          <w:spacing w:val="-2"/>
        </w:rPr>
      </w:pPr>
      <w:r w:rsidRPr="00086837">
        <w:rPr>
          <w:bCs/>
          <w:spacing w:val="-2"/>
        </w:rPr>
        <w:t>Khoản 2 Điều 14 Hiến pháp năm 2013 quy định rõ: quyền con người, quyền công dân chỉ có thể bị hạn chế “theo quy định của luật trong trường hợp cần thiết vì lý do quốc phòng, an ninh quốc gia, trật tự, an toàn xã hội, đạo đức xã hội, sức khỏe của cộng đồng”. Điều này ngăn ngừa việc dùng các văn bản dưới luật để can thiệp sâu vào quyền dân sự và đòi hỏi phải có căn cứ pháp lý rõ ràng, minh bạch.</w:t>
      </w:r>
    </w:p>
    <w:p w14:paraId="59FFEEF0" w14:textId="77777777" w:rsidR="00F33B58" w:rsidRPr="00086837" w:rsidRDefault="00F33B58" w:rsidP="002E638F">
      <w:pPr>
        <w:spacing w:before="60" w:line="276" w:lineRule="auto"/>
        <w:ind w:firstLine="720"/>
        <w:jc w:val="both"/>
        <w:rPr>
          <w:bCs/>
        </w:rPr>
      </w:pPr>
      <w:r w:rsidRPr="00086837">
        <w:rPr>
          <w:bCs/>
        </w:rPr>
        <w:t xml:space="preserve">Giải pháp 2 đáp ứng yêu cầu này bằng cách đưa toàn bộ hệ thống biện pháp kiểm soát WMD lên cấp luật, qua đó bảo đảm mọi biện pháp can thiệp (phong tỏa, đình chỉ giao dịch, thu giữ, v.v.) đều có căn cứ và giới hạn trong </w:t>
      </w:r>
      <w:r w:rsidRPr="00086837">
        <w:rPr>
          <w:bCs/>
        </w:rPr>
        <w:lastRenderedPageBreak/>
        <w:t>khuôn khổ luật định. Đồng thời giải pháp này tạo điều kiện quy định đầy đủ các nguyên tắc bảo đảm quyền như: nguyên tắc cần thiết, hợp lý và tương xứng; quy định rõ thẩm quyền, điều kiện, trình tự, thủ tục và thời hạn áp dụng biện pháp; cơ chế bảo đảm quyền được thông tin, giải trình, khiếu nại, tố cáo; và cơ chế giám sát, kiểm tra để xử lý xung đột giữa yêu cầu an ninh với quyền, lợi ích hợp pháp của cá nhân, tổ chức. Việc luật hóa như vậy giúp củng cố cơ sở hiến định cho công tác phòng, chống phổ biến WMD và tạo khung pháp lý ổn định, minh bạch, lâu dài.</w:t>
      </w:r>
    </w:p>
    <w:p w14:paraId="4A7E477A" w14:textId="77777777" w:rsidR="00F33B58" w:rsidRPr="00086837" w:rsidRDefault="00F33B58" w:rsidP="002E638F">
      <w:pPr>
        <w:spacing w:before="60" w:line="276" w:lineRule="auto"/>
        <w:ind w:firstLine="720"/>
        <w:jc w:val="both"/>
        <w:rPr>
          <w:bCs/>
        </w:rPr>
      </w:pPr>
      <w:r w:rsidRPr="00086837">
        <w:rPr>
          <w:bCs/>
        </w:rPr>
        <w:t>Tuy nhiên, giải pháp này cũng có những yêu cầu đặt ra, đòi hỏi quá trình lập pháp phức tạp và việc đồng bộ với các luật chuyên ngành có thể phát sinh chi phí rà soát, điều chỉnh; nếu nội dung luật quá khung hoặc quá chi tiết mà không hài hòa với pháp luật hiện hành, việc áp dụng thống nhất hoặc tổ chức thực hiện có thể khó khăn và phát sinh khiếu nại; những tác động tiêu cực này chỉ có thể hạn chế nhờ quá trình xây dựng luật kỹ lưỡng, với thiết kế rõ ràng về căn cứ áp dụng, cơ chế phối hợp liên ngành và các ràng buộc bảo đảm quyền.</w:t>
      </w:r>
    </w:p>
    <w:p w14:paraId="6988E870" w14:textId="77777777" w:rsidR="00F33B58" w:rsidRPr="00086837" w:rsidRDefault="00F33B58" w:rsidP="002E638F">
      <w:pPr>
        <w:spacing w:before="60" w:line="276" w:lineRule="auto"/>
        <w:ind w:firstLine="720"/>
        <w:jc w:val="both"/>
        <w:rPr>
          <w:bCs/>
        </w:rPr>
      </w:pPr>
      <w:r w:rsidRPr="00086837">
        <w:rPr>
          <w:bCs/>
        </w:rPr>
        <w:t>- Tính hợp pháp, tính thống nhất của chính sách:</w:t>
      </w:r>
    </w:p>
    <w:p w14:paraId="4449F7B7" w14:textId="77777777" w:rsidR="00F33B58" w:rsidRDefault="00F33B58" w:rsidP="002E638F">
      <w:pPr>
        <w:spacing w:before="60" w:line="276" w:lineRule="auto"/>
        <w:ind w:firstLine="720"/>
        <w:jc w:val="both"/>
        <w:rPr>
          <w:bCs/>
        </w:rPr>
      </w:pPr>
      <w:r w:rsidRPr="00086837">
        <w:rPr>
          <w:bCs/>
        </w:rPr>
        <w:t>Việc ban hành Luật để điều chỉnh phòng, chống phổ biến WMD và tài trợ phổ biến WMD giúp thống nhất các nguyên tắc, thẩm quyền và cơ chế thực thi trong một văn bản quy phạm pháp luật có hiệu lực cao nhất dưới Hiến pháp. Giải pháp này đáp ứng trực tiếp yêu cầu của Luật Ban hành văn bản quy phạm pháp luật năm 2025 về “bảo đảm tính hợp hiến, tính hợp pháp và tính thống nhất của văn bản quy phạm pháp luật”. Các biện pháp kiểm soát như phong tỏa, trì hoãn giao dịch, kiểm soát biên giới, thu thập và chia sẻ thông tin sẽ được quy định rõ ràng về căn cứ, thẩm quyền và trình tự, giảm rủi ro áp dụng tùy nghi và phù hợp với nguyên tắc Hiến pháp rằng việc hạn chế quyền chỉ được phép khi có quy định của luật.</w:t>
      </w:r>
      <w:r>
        <w:rPr>
          <w:bCs/>
        </w:rPr>
        <w:t xml:space="preserve"> </w:t>
      </w:r>
      <w:r w:rsidRPr="00AA163C">
        <w:rPr>
          <w:bCs/>
        </w:rPr>
        <w:t>Giải pháp 2 khắc phục xung đột áp dụng khi các văn bản quy định khác nhau về cùng một vấn đề theo nguyên tắc ưu tiên văn bản có hiệu lực pháp lý cao hơn; đồng thời tạo cơ sở luật hóa cơ chế liên thông và phối hợp liên ngành để giảm phân tán giữa các quy định chuyên ngành.</w:t>
      </w:r>
    </w:p>
    <w:p w14:paraId="64B0F7F4" w14:textId="77777777" w:rsidR="00F33B58" w:rsidRPr="00086837" w:rsidRDefault="00F33B58" w:rsidP="002E638F">
      <w:pPr>
        <w:spacing w:before="60" w:line="276" w:lineRule="auto"/>
        <w:ind w:firstLine="720"/>
        <w:jc w:val="both"/>
        <w:rPr>
          <w:bCs/>
        </w:rPr>
      </w:pPr>
      <w:r w:rsidRPr="00086837">
        <w:rPr>
          <w:bCs/>
        </w:rPr>
        <w:t xml:space="preserve">- Tính tương thích của chính sách với các điều ước quốc tế có liên quan mà nước Cộng hòa xã hội chủ nghĩa Việt Nam là thành viên: </w:t>
      </w:r>
    </w:p>
    <w:p w14:paraId="742528A0" w14:textId="77777777" w:rsidR="00F33B58" w:rsidRPr="00086837" w:rsidRDefault="00F33B58" w:rsidP="002E638F">
      <w:pPr>
        <w:spacing w:before="60" w:line="276" w:lineRule="auto"/>
        <w:ind w:firstLine="720"/>
        <w:jc w:val="both"/>
        <w:rPr>
          <w:bCs/>
        </w:rPr>
      </w:pPr>
      <w:r w:rsidRPr="00086837">
        <w:rPr>
          <w:bCs/>
        </w:rPr>
        <w:t xml:space="preserve">Giải pháp 2, khi ban hành khung pháp lý ở cấp luật, tăng cường mức độ tương thích với các điều ước và chuẩn mực quốc tế về kiểm soát phổ biến WMD. Việc luật hóa cho phép nội luật hóa trực tiếp, đầy đủ và thống nhất các nghĩa vụ mà Việt Nam đã cam kết, như Nghị quyết 1540 (2004) của Hội đồng Bảo an Liên hợp quốc yêu cầu quốc gia ban hành và thực thi pháp luật có hiệu lực để cấm và ngăn chặn chủ thể phi nhà nước tham gia hoặc hỗ trợ cho hoạt </w:t>
      </w:r>
      <w:r w:rsidRPr="00086837">
        <w:rPr>
          <w:bCs/>
        </w:rPr>
        <w:lastRenderedPageBreak/>
        <w:t>động liên quan WMD, đồng thời thiết lập cơ chế kiểm soát vật liệu nhạy cảm, biên giới và xuất khẩu. Khung luật cũng tạo điều kiện quy định rõ cơ chế trừng phạt tài chính mục tiêu như phong tỏa “không chậm trễ”, chỉ định, miễn trừ, bảo vệ bên thứ ba…, qua đó đạt mức tương thích cao hơn với Khuyến nghị 7 của FATF về chống tài trợ phổ biến.</w:t>
      </w:r>
    </w:p>
    <w:p w14:paraId="68FD28DB" w14:textId="77777777" w:rsidR="00F33B58" w:rsidRPr="00086837" w:rsidRDefault="00F33B58" w:rsidP="002E638F">
      <w:pPr>
        <w:spacing w:before="60" w:line="276" w:lineRule="auto"/>
        <w:ind w:firstLine="720"/>
        <w:jc w:val="both"/>
        <w:rPr>
          <w:bCs/>
        </w:rPr>
      </w:pPr>
      <w:r w:rsidRPr="00086837">
        <w:rPr>
          <w:bCs/>
        </w:rPr>
        <w:t>b) Tác động về kinh tế -  xã hội</w:t>
      </w:r>
    </w:p>
    <w:p w14:paraId="53153785" w14:textId="77777777" w:rsidR="00F33B58" w:rsidRPr="00086837" w:rsidRDefault="00F33B58" w:rsidP="002E638F">
      <w:pPr>
        <w:spacing w:before="60" w:line="276" w:lineRule="auto"/>
        <w:ind w:firstLine="720"/>
        <w:jc w:val="both"/>
        <w:rPr>
          <w:bCs/>
        </w:rPr>
      </w:pPr>
      <w:r w:rsidRPr="00086837">
        <w:rPr>
          <w:bCs/>
        </w:rPr>
        <w:t>- Đối với sản xuất, kinh doanh:</w:t>
      </w:r>
    </w:p>
    <w:p w14:paraId="6FFFBA9C" w14:textId="77777777" w:rsidR="00F33B58" w:rsidRPr="00086837" w:rsidRDefault="00F33B58" w:rsidP="002E638F">
      <w:pPr>
        <w:spacing w:before="60" w:line="276" w:lineRule="auto"/>
        <w:ind w:firstLine="720"/>
        <w:jc w:val="both"/>
        <w:rPr>
          <w:bCs/>
        </w:rPr>
      </w:pPr>
      <w:r w:rsidRPr="00086837">
        <w:rPr>
          <w:bCs/>
        </w:rPr>
        <w:t>Giải pháp 2 tác động tích cực đến hoạt động sản xuất, kinh doanh do việc nâng cơ chế kiểm soát phổ biến WMD lên tầm luật giúp tăng tính minh bạch và ổn định trong tổ chức thực thi, qua đó củng cố niềm tin của nhà đầu tư và doanh nghiệp, vì luật sẽ quy định rõ căn cứ, thẩm quyền và trình tự áp dụng biện pháp, đồng thời nội luật hóa đầy đủ nghĩa vụ quốc tế về kiểm soát WMD. Quy định minh bạch giảm nguy cơ áp dụng tùy tiện, giúp doanh nghiệp dự đoán và xây dựng kế hoạch sản xuất, kinh doanh dài hạn.</w:t>
      </w:r>
    </w:p>
    <w:p w14:paraId="40A6F5F2" w14:textId="77777777" w:rsidR="00F33B58" w:rsidRPr="00086837" w:rsidRDefault="00F33B58" w:rsidP="002E638F">
      <w:pPr>
        <w:spacing w:before="60" w:line="276" w:lineRule="auto"/>
        <w:ind w:firstLine="720"/>
        <w:jc w:val="both"/>
        <w:rPr>
          <w:bCs/>
        </w:rPr>
      </w:pPr>
      <w:r w:rsidRPr="00086837">
        <w:rPr>
          <w:bCs/>
        </w:rPr>
        <w:t>Tính ổn định và minh bạch đóng vai trò quan trọng với thu hút đầu tư trực tiếp nước ngoài (FDI). FDI là trụ cột xuất khẩu và nguồn vốn quan trọng của nền kinh tế. Năm 2023, các doanh nghiệp FDI xuất khẩu khoảng 259,95 tỷ USD, chiếm 73,1% tổng kim ngạch xuất khẩu của Việt Nam; đóng góp tới 99,6% giá trị xuất khẩu điện thoại, hơn 98 % máy tính, 93% máy móc và trên 60% ngành dệt may, đồng thời góp phần lớn vào thặng dư thương mại kỷ lục 28 tỷ USD của năm đó. Báo cáo của Bộ Kế hoạch và Đầu tư cho biết năm 2024, khu vực FDI giải ngân đạt 25,35 tỷ USD, tăng 9,4% so với năm 2023, và tạo 290,8 tỷ USD kim ngạch xuất khẩu hàng hóa (71,8% tổng kim ngạch). FDI cũng tích lũy 297 tỷ USD vốn đầu tư tính đến cuối năm 2023</w:t>
      </w:r>
      <w:r w:rsidRPr="00086837">
        <w:rPr>
          <w:rStyle w:val="FootnoteReference"/>
          <w:bCs/>
        </w:rPr>
        <w:footnoteReference w:id="57"/>
      </w:r>
      <w:r w:rsidRPr="00086837">
        <w:rPr>
          <w:bCs/>
        </w:rPr>
        <w:t>. Sự phụ thuộc lớn vào FDI cho thấy môi trường pháp lý ổn định là yếu tố quyết định đối với sản xuất, xuất khẩu và việc làm.</w:t>
      </w:r>
    </w:p>
    <w:p w14:paraId="603627BE" w14:textId="77777777" w:rsidR="00F33B58" w:rsidRPr="00086837" w:rsidRDefault="00F33B58" w:rsidP="002E638F">
      <w:pPr>
        <w:spacing w:before="60" w:line="276" w:lineRule="auto"/>
        <w:ind w:firstLine="720"/>
        <w:jc w:val="both"/>
      </w:pPr>
      <w:r w:rsidRPr="00086837">
        <w:t xml:space="preserve">Giải pháp 2, tạo khung pháp lý minh bạch giúp duy trì tín nhiệm quốc gia và bảo vệ nguồn vốn; khung luật dựa trên rủi ro có thể giảm rủi ro gián đoạn chuỗi cung ứng và tạo điều kiện cho FDI vào lĩnh vực công nghệ cao. Chính phủ đang ưu tiên thu hút FDI vào năng lượng, bán dẫn, trí tuệ nhân tạo và sản xuất công nghệ cao; đây đều là các ngành có hàm lượng công nghệ cao, sử dụng vật liệu hoặc thiết bị lưỡng dụng và có nguy cơ liên quan đến phổ biến WMD. Việc thống nhất cơ chế kiểm soát ở cấp luật sẽ tạo một “hệ thống một cửa” để cấp phép, giám sát và chia sẻ thông tin, giảm tình trạng chồng chéo giữa các bộ, ngành. Điều này giúp doanh nghiệp FDI xuất - nhập khẩu, logistics và tài chính </w:t>
      </w:r>
      <w:r w:rsidRPr="00086837">
        <w:lastRenderedPageBreak/>
        <w:t>giảm thời gian thông quan, chi phí giao dịch và rủi ro tắc nghẽn khi vận chuyển vật liệu nhạy cảm hoặc linh kiện điện tử. Khung luật cũng hỗ trợ Việt Nam tuân thủ khuyến nghị 7 của FATF; theo nghiên cứu của White &amp; Case (một trong những công ty luật hàng đầu thế giới), một quốc gia bị đưa vào danh sách giám sát của FATF có thể mất trung bình 7,6 % GDP dòng vốn đầu tư, trong đó dòng vốn FDI giảm 3% GDP - với GDP Việt Nam 2024 khoảng 476,4 tỷ USD, điều này tương đương nguy cơ mất khoảng 14 tỷ USD FDI</w:t>
      </w:r>
      <w:r w:rsidRPr="00086837">
        <w:rPr>
          <w:rStyle w:val="FootnoteReference"/>
        </w:rPr>
        <w:footnoteReference w:id="58"/>
      </w:r>
      <w:r w:rsidRPr="00086837">
        <w:t xml:space="preserve">. </w:t>
      </w:r>
    </w:p>
    <w:p w14:paraId="189F9445" w14:textId="77777777" w:rsidR="00F33B58" w:rsidRPr="00086837" w:rsidRDefault="00F33B58" w:rsidP="002E638F">
      <w:pPr>
        <w:spacing w:before="60" w:line="276" w:lineRule="auto"/>
        <w:ind w:firstLine="720"/>
        <w:jc w:val="both"/>
      </w:pPr>
      <w:r w:rsidRPr="00086837">
        <w:t>Đồng thời, doanh nghiệp thuộc nhóm rủi ro cao sẽ đối mặt yêu cầu tuân thủ nghiêm ngặt hơn. Các ngành sản xuất, xuất nhập khẩu hóa chất, sinh học, thiết bị chuyên dụng, ngân hàng và tài chính phải thiết lập bộ phận tuân thủ, đầu tư hệ thống sàng lọc đối tác, lưu trữ chứng từ và báo cáo giao dịch đáng ngờ. Dù chi phí ban đầu tăng, lợi ích dài hạn là giảm nguy cơ vi phạm, tránh bị phạt hoặc hạn chế kinh doanh, đồng thời duy trì khả năng tiếp cận thị trường quốc tế. Trong khi đó, phần lớn doanh nghiệp khác hưởng lợi từ quy trình thủ tục rõ ràng, minh bạch và số hóa, giúp giảm chi phí tuân thủ và tăng khả năng dự báo trong kế hoạch đầu tư.</w:t>
      </w:r>
    </w:p>
    <w:p w14:paraId="3D07D24A" w14:textId="77777777" w:rsidR="00F33B58" w:rsidRPr="00086837" w:rsidRDefault="00F33B58" w:rsidP="002E638F">
      <w:pPr>
        <w:spacing w:before="60" w:line="276" w:lineRule="auto"/>
        <w:ind w:firstLine="720"/>
        <w:jc w:val="both"/>
      </w:pPr>
      <w:r w:rsidRPr="00086837">
        <w:t>Như vậy, khung pháp lý cấp luật không chỉ đáp ứng yêu cầu nội luật hóa nghĩa vụ quốc tế mà còn tạo ra động lực cải thiện môi trường kinh doanh: tăng niềm tin cho nhà đầu tư, giảm rủi ro, đồng thời bảo vệ chuỗi cung ứng và thúc đẩy các ngành công nghệ cao phát triển bền vững.</w:t>
      </w:r>
    </w:p>
    <w:p w14:paraId="701B35B3" w14:textId="77777777" w:rsidR="00F33B58" w:rsidRPr="00086837" w:rsidRDefault="00F33B58" w:rsidP="002E638F">
      <w:pPr>
        <w:spacing w:before="60" w:line="276" w:lineRule="auto"/>
        <w:ind w:firstLine="720"/>
        <w:jc w:val="both"/>
        <w:rPr>
          <w:bCs/>
        </w:rPr>
      </w:pPr>
      <w:r w:rsidRPr="00086837">
        <w:rPr>
          <w:bCs/>
        </w:rPr>
        <w:t>- Đối với việc làm:</w:t>
      </w:r>
    </w:p>
    <w:p w14:paraId="5EE8058B" w14:textId="77777777" w:rsidR="00F33B58" w:rsidRPr="00086837" w:rsidRDefault="00F33B58" w:rsidP="002E638F">
      <w:pPr>
        <w:spacing w:before="60" w:line="276" w:lineRule="auto"/>
        <w:ind w:firstLine="720"/>
        <w:jc w:val="both"/>
        <w:rPr>
          <w:bCs/>
          <w:spacing w:val="-2"/>
        </w:rPr>
      </w:pPr>
      <w:r w:rsidRPr="00086837">
        <w:rPr>
          <w:bCs/>
          <w:spacing w:val="-2"/>
        </w:rPr>
        <w:t>Giải pháp 2 tác động trực tiếp tới cơ cấu việc làm theo hướng hình thành và mở rộng nhóm vị trí chuyên trách về tuân thủ, kiểm soát thương mại chiến lược và phòng, chống tài trợ phổ biến WMD tại cơ quan quản lý nhà nước, tổ chức tài chính và doanh nghiệp tham gia chuỗi cung ứng xuyên biên giới. Quy mô tác động gắn với thực tiễn Việt Nam là nền kinh tế có độ mở lớn: kim ngạch xuất nhập khẩu 10 tháng năm 2025 đạt 762,44 tỷ USD</w:t>
      </w:r>
      <w:r w:rsidRPr="00086837">
        <w:rPr>
          <w:rStyle w:val="FootnoteReference"/>
          <w:bCs/>
          <w:spacing w:val="-2"/>
        </w:rPr>
        <w:footnoteReference w:id="59"/>
      </w:r>
      <w:r w:rsidRPr="00086837">
        <w:rPr>
          <w:bCs/>
          <w:spacing w:val="-2"/>
        </w:rPr>
        <w:t>; cùng với hệ sinh thái logistics có hơn 30.000 doanh nghiệp và xấp xỉ 1,2 triệu lao động (theo Hiệp hội Doanh nghiệp dịch vụ logistics Việt Nam - VLA)</w:t>
      </w:r>
      <w:r w:rsidRPr="00086837">
        <w:rPr>
          <w:rStyle w:val="FootnoteReference"/>
          <w:bCs/>
          <w:spacing w:val="-2"/>
        </w:rPr>
        <w:footnoteReference w:id="60"/>
      </w:r>
      <w:r w:rsidRPr="00086837">
        <w:rPr>
          <w:bCs/>
          <w:spacing w:val="-2"/>
        </w:rPr>
        <w:t xml:space="preserve">. Khảo sát của VLA cho thấy 50% doanh nghiệp logistics có nhu cầu tuyển thêm 15-20% nhân sự, trong khi lao động được đào tạo bài bản về logistics chỉ chiếm khoảng 5-7%; khi luật hóa các yêu cầu sàng lọc đối tác, thẩm tra người sử dụng cuối, lưu vết hồ sơ và tuân thủ trừng phạt tài chính mục tiêu, nhu cầu tuyển dụng và đào tạo lại nhân sự tuân thủ tại nhóm doanh nghiệp xuất nhập khẩu, logistics, ngân hàng, bảo hiểm và chứng </w:t>
      </w:r>
      <w:r w:rsidRPr="00086837">
        <w:rPr>
          <w:bCs/>
          <w:spacing w:val="-2"/>
        </w:rPr>
        <w:lastRenderedPageBreak/>
        <w:t>khoán gia tăng rõ rệt. Ở chiều ngược lại, khuôn khổ pháp lý cấp luật giúp củng cố tín nhiệm tuân thủ, qua đó giảm rủi ro gián đoạn thanh toán và tài trợ thương mại khi Việt Nam đang chịu cơ chế giám sát tăng cường của FATF; nghiên cứu của Quỹ Tiền tệ Quốc tế (IMF, WP/21/153) cho thấy tình trạng “danh sách xám” gắn với mức giảm dòng vốn vào trung bình 7,6% GDP, ảnh hưởng trực tiếp đến năng lực tạo việc làm của nền kinh tế</w:t>
      </w:r>
      <w:r w:rsidRPr="00086837">
        <w:rPr>
          <w:rStyle w:val="FootnoteReference"/>
          <w:bCs/>
          <w:spacing w:val="-2"/>
        </w:rPr>
        <w:footnoteReference w:id="61"/>
      </w:r>
      <w:r w:rsidRPr="00086837">
        <w:rPr>
          <w:bCs/>
          <w:spacing w:val="-2"/>
        </w:rPr>
        <w:t>. Riêng khu vực FDI đang sử dụng 5,09 triệu lao động năm 2022 và thu hút thêm hơn 360.000 lao động mỗi năm</w:t>
      </w:r>
      <w:r w:rsidRPr="00086837">
        <w:rPr>
          <w:rStyle w:val="FootnoteReference"/>
          <w:bCs/>
          <w:spacing w:val="-2"/>
        </w:rPr>
        <w:footnoteReference w:id="62"/>
      </w:r>
      <w:r w:rsidRPr="00086837">
        <w:rPr>
          <w:bCs/>
          <w:spacing w:val="-2"/>
        </w:rPr>
        <w:t>; vì vậy việc hoàn thiện khuôn khổ pháp lý theo chuẩn mực quốc tế vừa tạo thêm việc làm chất lượng cao trong lĩnh vực tuân thủ, vừa góp phần bảo vệ việc làm trong các ngành xuất khẩu và công nghiệp chế biến, chế tạo có tỷ trọng lớn của khu vực FDI.</w:t>
      </w:r>
    </w:p>
    <w:p w14:paraId="06298688" w14:textId="77777777" w:rsidR="00F33B58" w:rsidRPr="00086837" w:rsidRDefault="00F33B58" w:rsidP="002E638F">
      <w:pPr>
        <w:spacing w:before="60" w:line="276" w:lineRule="auto"/>
        <w:ind w:firstLine="720"/>
        <w:jc w:val="both"/>
        <w:rPr>
          <w:bCs/>
        </w:rPr>
      </w:pPr>
      <w:r w:rsidRPr="00086837">
        <w:rPr>
          <w:bCs/>
        </w:rPr>
        <w:t>- Đối với dân tộc, tôn giáo:</w:t>
      </w:r>
    </w:p>
    <w:p w14:paraId="021ACB81" w14:textId="77777777" w:rsidR="00F33B58" w:rsidRPr="00086837" w:rsidRDefault="00F33B58" w:rsidP="002E638F">
      <w:pPr>
        <w:spacing w:before="60" w:line="276" w:lineRule="auto"/>
        <w:ind w:firstLine="720"/>
        <w:jc w:val="both"/>
        <w:rPr>
          <w:bCs/>
        </w:rPr>
      </w:pPr>
      <w:r w:rsidRPr="00086837">
        <w:rPr>
          <w:bCs/>
        </w:rPr>
        <w:t>Giải pháp 2 về cơ bản không đặt ra quy định phân biệt theo dân tộc, tôn giáo vì các biện pháp quản lý, kiểm soát được xây dựng theo tiếp cận dựa trên rủi ro đối với hoạt động, hàng hóa, giao dịch và theo chuỗi, áp dụng thống nhất cho mọi tổ chức, cá nhân. Tuy nhiên, do Việt Nam là quốc gia đa dân tộc với cộng đồng 54 dân tộc và đồng bào dân tộc thiểu số tập trung nhiều ở các địa bàn miền núi, biên giới, nơi phát sinh nhiều hoạt động qua lại cửa khẩu, vận chuyển và thương mại biên mậu, việc tăng cường kiểm soát hàng hóa lưỡng dụng và giao dịch xuyên biên giới có thể làm tăng một số thủ tục kiểm tra, xác minh đối với các chủ thể nhỏ lẻ trong giai đoạn đầu nếu không có hướng dẫn, truyền thông và hỗ trợ tuân thủ phù hợp. Theo kết quả Tổng điều tra dân số năm 2019, nhóm “dân tộc khác” (ngoài dân tộc Kinh) có 14.123.255 người, chiếm 14,7% dân số; trong đó tỷ lệ nhóm dân tộc khác tại vùng Trung du và miền núi phía Bắc là 56,2% và tại Tây Nguyên là 37,7% - cho thấy nhu cầu đặc biệt về phổ biến, tập huấn và hỗ trợ thực thi tại các địa bàn có tỷ lệ đồng bào dân tộc thiểu số cao</w:t>
      </w:r>
      <w:r w:rsidRPr="00086837">
        <w:rPr>
          <w:rStyle w:val="FootnoteReference"/>
          <w:bCs/>
        </w:rPr>
        <w:footnoteReference w:id="63"/>
      </w:r>
      <w:r w:rsidRPr="00086837">
        <w:rPr>
          <w:bCs/>
        </w:rPr>
        <w:t xml:space="preserve">. Về tôn giáo, tính đến tháng 5/2024, Nhà nước đã công nhận và cấp đăng ký hoạt động cho 43 tổ chức thuộc 16 tôn giáo, với trên 27 triệu đồng bào theo đạo (trên 27% dân số), cùng trên 54.000 chức sắc, 135.500 chức việc và trên 29.600 cơ sở thờ tự; do đó, nếu luật hóa rõ nguyên tắc không kỳ thị, bảo đảm quyền tự do tín ngưỡng, tôn giáo; quy định minh bạch về thẩm quyền, điều kiện, trình tự áp dụng biện pháp và cơ chế giải quyết vướng mắc, khiếu nại, thì các biện pháp kiểm soát dựa trên rủi ro sẽ góp phần ngăn ngừa nguy cơ bị lợi dụng cho hoạt động tài trợ phổ biến vũ khí hủy diệt hàng loạt (WMD), đồng thời </w:t>
      </w:r>
      <w:r w:rsidRPr="00086837">
        <w:rPr>
          <w:bCs/>
        </w:rPr>
        <w:lastRenderedPageBreak/>
        <w:t>giảm nguy cơ áp dụng tùy nghi, qua đó củng cố khối đại đoàn kết dân tộc và đoàn kết tôn giáo</w:t>
      </w:r>
      <w:r w:rsidRPr="00086837">
        <w:rPr>
          <w:rStyle w:val="FootnoteReference"/>
          <w:bCs/>
        </w:rPr>
        <w:footnoteReference w:id="64"/>
      </w:r>
      <w:r w:rsidRPr="00086837">
        <w:rPr>
          <w:bCs/>
        </w:rPr>
        <w:t>.</w:t>
      </w:r>
    </w:p>
    <w:p w14:paraId="58FDBAE6" w14:textId="77777777" w:rsidR="00F33B58" w:rsidRPr="00086837" w:rsidRDefault="00F33B58" w:rsidP="002E638F">
      <w:pPr>
        <w:spacing w:before="60" w:line="276" w:lineRule="auto"/>
        <w:ind w:firstLine="720"/>
        <w:jc w:val="both"/>
        <w:rPr>
          <w:bCs/>
        </w:rPr>
      </w:pPr>
      <w:r w:rsidRPr="00086837">
        <w:rPr>
          <w:bCs/>
        </w:rPr>
        <w:t>- Đối với văn hóa, giáo dục:</w:t>
      </w:r>
    </w:p>
    <w:p w14:paraId="18F7FBC0" w14:textId="77777777" w:rsidR="00F33B58" w:rsidRPr="00086837" w:rsidRDefault="00F33B58" w:rsidP="002E638F">
      <w:pPr>
        <w:spacing w:before="60" w:line="276" w:lineRule="auto"/>
        <w:ind w:firstLine="720"/>
        <w:jc w:val="both"/>
        <w:rPr>
          <w:bCs/>
        </w:rPr>
      </w:pPr>
      <w:r w:rsidRPr="00086837">
        <w:rPr>
          <w:bCs/>
        </w:rPr>
        <w:t>Giải pháp 2 không đặt ra hạn chế đối với sáng tạo và hưởng thụ văn hóa, cũng như quyền học tập, do phạm vi điều chỉnh tập trung vào quản lý, kiểm soát rủi ro phổ biến và tài trợ phổ biến WMD; tuy vậy, việc thiết lập khung pháp lý cấp luật sẽ thúc đẩy “văn hóa tuân thủ” và “văn hóa an toàn” trong cộng đồng nghiên cứu, đào tạo và trong các tổ chức tham gia giao lưu, hợp tác quốc tế (tiếp nhận tài trợ, chuyển giao thiết bị, vật tư, hợp tác nghiên cứu). Quy mô hệ thống giáo dục cho thấy nhu cầu truyền thông - đào tạo rất lớn: năm học 2024-2025, cả nước có 25.255.251 học sinh, sinh viên theo học tại 53.979 cơ sở giáo dục, trong đó có 2.068.522 sinh viên đại học</w:t>
      </w:r>
      <w:r w:rsidRPr="00086837">
        <w:rPr>
          <w:rStyle w:val="FootnoteReference"/>
          <w:bCs/>
        </w:rPr>
        <w:footnoteReference w:id="65"/>
      </w:r>
      <w:r w:rsidRPr="00086837">
        <w:rPr>
          <w:bCs/>
        </w:rPr>
        <w:t>. Trong cơ cấu người học đại học, các khối ngành gắn trực tiếp với quản trị rủi ro kỹ thuật và chuỗi cung ứng có quy mô lớn, gồm khối ngành V (toán, thống kê, CNTT, kỹ thuật, sản xuất, chế biến…) với hơn 707.600 sinh viên và khối III (kinh doanh, quản lý, pháp luật) với hơn 576.000 sinh viên; đồng thời, khối VII (nhân văn, khoa học xã hội và hành vi, báo chí - thông tin, dịch vụ xã hội, vận tải, môi trường, an ninh - quốc phòng…) có hơn 490.600 sinh viên, là lực lượng quan trọng để lan tỏa nhận thức và chuẩn mực ứng xử văn hóa trong thực thi pháp luật</w:t>
      </w:r>
      <w:r w:rsidRPr="00086837">
        <w:rPr>
          <w:rStyle w:val="FootnoteReference"/>
          <w:bCs/>
        </w:rPr>
        <w:footnoteReference w:id="66"/>
      </w:r>
      <w:r w:rsidRPr="00086837">
        <w:rPr>
          <w:bCs/>
        </w:rPr>
        <w:t>. Ở hệ giáo dục nghề nghiệp, cả nước có 1.904 cơ sở (407 trường cao đẳng, 439 trường trung cấp, 1.058 trung tâm GDNN) với quy mô tuyển sinh hằng năm khoảng 2,2 triệu người</w:t>
      </w:r>
      <w:r w:rsidRPr="00086837">
        <w:rPr>
          <w:rStyle w:val="FootnoteReference"/>
          <w:bCs/>
        </w:rPr>
        <w:footnoteReference w:id="67"/>
      </w:r>
      <w:r w:rsidRPr="00086837">
        <w:rPr>
          <w:bCs/>
        </w:rPr>
        <w:t>; vì vậy, việc luật hóa tiêu chí sàng lọc, lưu vết hồ sơ và phối hợp liên ngành sẽ kéo theo nhu cầu biên soạn tài liệu, tập huấn và đưa nội dung tuân thủ vào các chương trình bồi dưỡng cho nhà giáo, người học và cán bộ thực thi, qua đó nâng chuẩn năng lực an toàn - an ninh (CBRN) và giảm nguy cơ bị lợi dụng trong hợp tác khoa học - giáo dục.</w:t>
      </w:r>
    </w:p>
    <w:p w14:paraId="7C81B855" w14:textId="77777777" w:rsidR="00F33B58" w:rsidRPr="00086837" w:rsidRDefault="00F33B58" w:rsidP="002E638F">
      <w:pPr>
        <w:spacing w:before="60" w:line="276" w:lineRule="auto"/>
        <w:ind w:firstLine="720"/>
        <w:jc w:val="both"/>
        <w:rPr>
          <w:bCs/>
        </w:rPr>
      </w:pPr>
      <w:r w:rsidRPr="00086837">
        <w:rPr>
          <w:bCs/>
        </w:rPr>
        <w:t>- Đối với y tế:</w:t>
      </w:r>
    </w:p>
    <w:p w14:paraId="17898EF1" w14:textId="77777777" w:rsidR="00F33B58" w:rsidRPr="00086837" w:rsidRDefault="00F33B58" w:rsidP="002E638F">
      <w:pPr>
        <w:spacing w:before="60" w:line="276" w:lineRule="auto"/>
        <w:ind w:firstLine="720"/>
        <w:jc w:val="both"/>
        <w:rPr>
          <w:bCs/>
        </w:rPr>
      </w:pPr>
      <w:r w:rsidRPr="00086837">
        <w:rPr>
          <w:bCs/>
        </w:rPr>
        <w:t xml:space="preserve">Giải pháp 2 tác động tích cực đối với hệ thống y tế thông qua việc luật hóa các biện pháp quản lý, kiểm soát rủi ro đối với tác nhân CBRN, hàng hóa lưỡng dụng và giao dịch liên quan, qua đó tăng an toàn sinh học, an ninh y tế và </w:t>
      </w:r>
      <w:r w:rsidRPr="00086837">
        <w:rPr>
          <w:bCs/>
        </w:rPr>
        <w:lastRenderedPageBreak/>
        <w:t>năng lực ứng phó sự cố tại bệnh viện, phòng xét nghiệm và cơ sở nghiên cứu. Khối lượng thực thi lớn do mạng lưới cung ứng dịch vụ y tế rộng: năm 2024, số bác sĩ trên 10.000 dân ước đạt 14, số giường bệnh trên 10.000 dân đạt 34 và tỷ lệ tham gia bảo hiểm y tế đạt 94,1%</w:t>
      </w:r>
      <w:r w:rsidRPr="00086837">
        <w:rPr>
          <w:rStyle w:val="FootnoteReference"/>
          <w:bCs/>
        </w:rPr>
        <w:footnoteReference w:id="68"/>
      </w:r>
      <w:r w:rsidRPr="00086837">
        <w:rPr>
          <w:bCs/>
        </w:rPr>
        <w:t>. Ở tuyến cơ sở, tỷ lệ trạm y tế xã có bác sĩ đạt 87,7% và tỷ lệ thôn, bản có nhân viên y tế đạt 98,6%, phản ánh phạm vi phổ biến - tập huấn và tổ chức thực thi trải rộng đến tận cơ sở</w:t>
      </w:r>
      <w:r w:rsidRPr="00086837">
        <w:rPr>
          <w:rStyle w:val="FootnoteReference"/>
          <w:bCs/>
        </w:rPr>
        <w:footnoteReference w:id="69"/>
      </w:r>
      <w:r w:rsidRPr="00086837">
        <w:rPr>
          <w:bCs/>
        </w:rPr>
        <w:t>. Việc chuẩn hóa yêu cầu tiếp cận dựa trên rủi ro kéo theo nhu cầu rà soát, phân loại và tăng cường điều kiện an toàn tại các phòng xét nghiệm; theo quy định về bảo đảm an toàn sinh học tại phòng xét nghiệm, cơ sở xét nghiệm được phân loại theo 4 cấp độ, phải phân công người chịu trách nhiệm về an toàn sinh học, bảo đảm nhân viên được tập huấn, trong đó cấp I yêu cầu tối thiểu 02 nhân viên xét nghiệm</w:t>
      </w:r>
      <w:r w:rsidRPr="00086837">
        <w:rPr>
          <w:rStyle w:val="FootnoteReference"/>
          <w:bCs/>
        </w:rPr>
        <w:footnoteReference w:id="70"/>
      </w:r>
      <w:r w:rsidRPr="00086837">
        <w:rPr>
          <w:bCs/>
        </w:rPr>
        <w:t>. Song song lợi ích giảm rủi ro lây nhiễm, thất thoát tác nhân nguy hiểm và sự cố hóa học - phóng xạ, giải pháp làm gia tăng nhu cầu kinh phí cho trang thiết bị an toàn, xử lý chất thải, lưu vết hồ sơ và cơ chế báo cáo - phối hợp liên ngành, đồng thời thúc đẩy chuẩn hóa quy trình chuyên môn gắn với an toàn người bệnh và an toàn nhân viên y tế.</w:t>
      </w:r>
    </w:p>
    <w:p w14:paraId="133D62FC" w14:textId="77777777" w:rsidR="00F33B58" w:rsidRPr="00086837" w:rsidRDefault="00F33B58" w:rsidP="002E638F">
      <w:pPr>
        <w:spacing w:before="60" w:line="276" w:lineRule="auto"/>
        <w:ind w:firstLine="720"/>
        <w:jc w:val="both"/>
        <w:rPr>
          <w:bCs/>
        </w:rPr>
      </w:pPr>
      <w:r w:rsidRPr="00086837">
        <w:rPr>
          <w:bCs/>
        </w:rPr>
        <w:t>- Đối với môi trường:</w:t>
      </w:r>
    </w:p>
    <w:p w14:paraId="350B1033" w14:textId="77777777" w:rsidR="00F33B58" w:rsidRPr="00086837" w:rsidRDefault="00F33B58" w:rsidP="002E638F">
      <w:pPr>
        <w:spacing w:before="60" w:line="276" w:lineRule="auto"/>
        <w:ind w:firstLine="720"/>
        <w:jc w:val="both"/>
        <w:rPr>
          <w:bCs/>
        </w:rPr>
      </w:pPr>
      <w:r w:rsidRPr="00086837">
        <w:rPr>
          <w:bCs/>
        </w:rPr>
        <w:t>Giải pháp 2 tác động tích cực tới môi trường thông qua việc luật hóa các biện pháp quản lý, kiểm soát đặc thù theo tiếp cận dựa trên rủi ro và theo chuỗi đối với tác nhân CBRN, hàng hóa lưỡng dụng và các giao dịch liên quan; việc kiểm soát chặt khâu cấp phép, vận chuyển, lưu giữ, sử dụng và xử lý sau sử dụng góp phần giảm nguy cơ phát tán, rò rỉ tác nhân nguy hiểm ra môi trường đất, nước và không khí, đồng thời tăng hiệu quả kiểm soát nhập khẩu phế liệu, truy xuất nguồn gốc và xử lý vi phạm. Tác động này đặt trong bối cảnh áp lực chất thải lớn: tính đến ngày 30/6, tổng chất thải rắn sinh hoạt phát sinh trên cả nước khoảng 69,4 nghìn tấn/ngày; năm 2024, tỷ lệ thu gom, xử lý chất thải rắn sinh hoạt đô thị đạt 97,26% nhưng tỷ lệ chôn lấp vẫn ở mức 64%, trong khi chất thải nguy hại được xử lý đạt 98,06%</w:t>
      </w:r>
      <w:r w:rsidRPr="00086837">
        <w:rPr>
          <w:rStyle w:val="FootnoteReference"/>
          <w:bCs/>
        </w:rPr>
        <w:footnoteReference w:id="71"/>
      </w:r>
      <w:r w:rsidRPr="00086837">
        <w:rPr>
          <w:bCs/>
        </w:rPr>
        <w:t xml:space="preserve">. Ở khu vực sản xuất, 94,1% khu công nghiệp đang hoạt động đã có hệ thống xử lý nước thải tập trung, song tỷ lệ cụm công nghiệp và làng nghề có hệ thống xử lý đạt yêu cầu lần lượt mới đạt 31,5% và 16,6%. Ngoài ra, Việt Nam phát sinh khoảng 1,8 triệu tấn rác thải nhựa/năm; riêng Hà Nội và thành phố Hồ Chí Minh thải ra môi trường khoảng 80 tấn rác thải nhựa/ngày, làm gia tăng nguy cơ ô nhiễm thứ cấp nếu thu gom, xử lý và </w:t>
      </w:r>
      <w:r w:rsidRPr="00086837">
        <w:rPr>
          <w:bCs/>
        </w:rPr>
        <w:lastRenderedPageBreak/>
        <w:t>kiểm soát chuỗi không chặt chẽ</w:t>
      </w:r>
      <w:r w:rsidRPr="00086837">
        <w:rPr>
          <w:rStyle w:val="FootnoteReference"/>
          <w:bCs/>
        </w:rPr>
        <w:footnoteReference w:id="72"/>
      </w:r>
      <w:r w:rsidRPr="00086837">
        <w:rPr>
          <w:bCs/>
        </w:rPr>
        <w:t>. Với rác thải điện tử (chứa nhiều thành phần nguy hại), năm 2022 Việt Nam phát sinh 516 nghìn tấn (5,3 kg/người), cho thấy nhu cầu chuẩn hóa quản lý theo chuỗi và tăng kiểm soát rủi ro</w:t>
      </w:r>
      <w:r w:rsidRPr="00086837">
        <w:rPr>
          <w:rStyle w:val="FootnoteReference"/>
          <w:bCs/>
        </w:rPr>
        <w:footnoteReference w:id="73"/>
      </w:r>
      <w:r w:rsidRPr="00086837">
        <w:rPr>
          <w:bCs/>
        </w:rPr>
        <w:t>. Song song lợi ích phòng ngừa sự cố và giảm chi phí khắc phục ô nhiễm, giải pháp làm tăng nhu cầu đầu tư cho hạ tầng lưu giữ an toàn, quan trắc, xử lý chất thải và đào tạo nhân lực tuân thủ trong các cơ sở sản xuất, nghiên cứu và dịch vụ logistics.</w:t>
      </w:r>
    </w:p>
    <w:p w14:paraId="04794647" w14:textId="77777777" w:rsidR="00F33B58" w:rsidRPr="00086837" w:rsidRDefault="00F33B58" w:rsidP="002E638F">
      <w:pPr>
        <w:spacing w:before="60" w:line="276" w:lineRule="auto"/>
        <w:ind w:firstLine="720"/>
        <w:jc w:val="both"/>
        <w:rPr>
          <w:bCs/>
        </w:rPr>
      </w:pPr>
      <w:r w:rsidRPr="00086837">
        <w:rPr>
          <w:bCs/>
        </w:rPr>
        <w:t>- Đối với quốc phòng, an ninh:</w:t>
      </w:r>
    </w:p>
    <w:p w14:paraId="3B89CBCA" w14:textId="77777777" w:rsidR="00F33B58" w:rsidRPr="00086837" w:rsidRDefault="00F33B58" w:rsidP="002E638F">
      <w:pPr>
        <w:spacing w:before="60" w:line="276" w:lineRule="auto"/>
        <w:ind w:firstLine="720"/>
        <w:jc w:val="both"/>
        <w:rPr>
          <w:bCs/>
        </w:rPr>
      </w:pPr>
      <w:r w:rsidRPr="00086837">
        <w:rPr>
          <w:bCs/>
        </w:rPr>
        <w:t>Giải pháp 2 tác động trực tiếp tới quốc phòng, an ninh thông qua việc hình thành cơ chế quản lý, kiểm soát đặc thù theo cách tiếp cận dựa trên rủi ro và theo chuỗi đối với các hoạt động, hàng hóa và giao dịch nhạy cảm (CBRN, hàng hóa lưỡng dụng, tài trợ phổ biến), qua đó tăng năng lực phát hiện, ngăn chặn vận chuyển trái phép và sử dụng sai mục đích vật tư, thiết bị có nguy cơ liên quan phổ biến WMD. Nhu cầu kiểm soát và phối hợp liên ngành đặt trong bối cảnh phạm vi quản lý rộng: Việt Nam có đường biên giới đất liền dài 4.550 km và đường bờ biển dài 3.260 km; kim ngạch xuất nhập khẩu năm 2024 ước đạt 786,07 tỷ USD</w:t>
      </w:r>
      <w:r w:rsidRPr="00086837">
        <w:rPr>
          <w:rStyle w:val="FootnoteReference"/>
          <w:bCs/>
        </w:rPr>
        <w:footnoteReference w:id="74"/>
      </w:r>
      <w:r w:rsidRPr="00086837">
        <w:rPr>
          <w:bCs/>
        </w:rPr>
        <w:t>. Riêng 6 tháng đầu năm 2024, ngành Hải quan đã phân luồng thông suốt 8.318.863 tờ khai, phản ánh áp lực thực thi rất lớn tại cửa khẩu, cảng biển, sân bay và trong kiểm soát luồng hàng</w:t>
      </w:r>
      <w:r w:rsidRPr="00086837">
        <w:rPr>
          <w:rStyle w:val="FootnoteReference"/>
          <w:bCs/>
        </w:rPr>
        <w:footnoteReference w:id="75"/>
      </w:r>
      <w:r w:rsidRPr="00086837">
        <w:rPr>
          <w:bCs/>
        </w:rPr>
        <w:t>. Khi luật hóa thống nhất thẩm quyền, tiêu chí rủi ro, cơ chế chia sẻ dữ liệu và phối hợp giữa lực lượng quốc phòng - an ninh, hải quan, quản lý chuyên ngành và cơ quan tài chính, hệ thống vừa giảm lỗ hổng bị lợi dụng để buôn lậu, trung chuyển hàng hóa nhạy cảm, vừa tăng hiệu quả thực thi các biện pháp khẩn cấp theo nghị quyết của Hội đồng Bảo an Liên hợp quốc, bảo vệ lợi ích an ninh quốc gia và duy trì môi trường hòa bình, ổn định cho phát triển.</w:t>
      </w:r>
    </w:p>
    <w:p w14:paraId="305BCE7D" w14:textId="77777777" w:rsidR="00F33B58" w:rsidRPr="00086837" w:rsidRDefault="00F33B58" w:rsidP="002E638F">
      <w:pPr>
        <w:spacing w:before="60" w:line="276" w:lineRule="auto"/>
        <w:ind w:firstLine="720"/>
        <w:jc w:val="both"/>
        <w:rPr>
          <w:bCs/>
        </w:rPr>
      </w:pPr>
      <w:r w:rsidRPr="00086837">
        <w:rPr>
          <w:bCs/>
        </w:rPr>
        <w:t>- Đối với phân cấp, phân quyền:</w:t>
      </w:r>
    </w:p>
    <w:p w14:paraId="4D0D5D89" w14:textId="77777777" w:rsidR="00F33B58" w:rsidRPr="00086837" w:rsidRDefault="00F33B58" w:rsidP="002E638F">
      <w:pPr>
        <w:spacing w:before="60" w:line="276" w:lineRule="auto"/>
        <w:ind w:firstLine="720"/>
        <w:jc w:val="both"/>
        <w:rPr>
          <w:bCs/>
        </w:rPr>
      </w:pPr>
      <w:r w:rsidRPr="00086837">
        <w:rPr>
          <w:bCs/>
        </w:rPr>
        <w:t xml:space="preserve">Giải pháp 2 tạo cơ sở phân định thẩm quyền và phân quyền rõ hơn trong quản trị rủi ro phổ biến và tài trợ phổ biến WMD theo chuỗi, phù hợp mô hình chính quyền địa phương 2 cấp (cấp tỉnh và cấp xã) theo Luật số 72/2025/QH15 và việc cấp huyện kết thúc hoạt động từ ngày 01/7/2025; đồng thời, Nghị quyết số 202/2025/QH15 về sắp xếp đơn vị hành chính cấp tỉnh làm cả nước còn 34 đơn vị hành chính cấp tỉnh (28 tỉnh, 6 thành phố), trong đó 19 tỉnh và 4 thành phố hình thành sau sắp xếp. Trên nền tảng đó, thẩm quyền trung ương tập trung vào ban hành danh mục, tiêu chí rủi ro, chuẩn kiểm soát và cơ chế điều phối liên </w:t>
      </w:r>
      <w:r w:rsidRPr="00086837">
        <w:rPr>
          <w:bCs/>
        </w:rPr>
        <w:lastRenderedPageBreak/>
        <w:t>ngành; cấp tỉnh tổ chức triển khai theo địa bàn, phân bổ nguồn lực, thiết lập đầu mối chia sẻ thông tin và kiểm tra, giám sát; cấp xã phối hợp tiếp nhận, xác minh ban đầu thông tin, quản lý hồ sơ và xử lý tình huống tại cơ sở theo phân công. Việc luật hóa đầy đủ thẩm quyền, quy trình phối hợp, chế độ thông tin - báo cáo và trách nhiệm giải trình giảm chồng chéo khi chuyển giao nhiệm vụ từ cấp huyện sang cấp tỉnh và cấp xã, đồng thời đặt yêu cầu chuẩn hóa quy trình và tăng cường năng lực thực thi ở cấp cơ sở để bảo đảm áp dụng thống nhất trên phạm vi toàn quốc.</w:t>
      </w:r>
    </w:p>
    <w:p w14:paraId="14CA3F97" w14:textId="77777777" w:rsidR="00F33B58" w:rsidRPr="00086837" w:rsidRDefault="00F33B58" w:rsidP="002E638F">
      <w:pPr>
        <w:spacing w:before="60" w:line="276" w:lineRule="auto"/>
        <w:ind w:firstLine="720"/>
        <w:jc w:val="both"/>
        <w:rPr>
          <w:bCs/>
        </w:rPr>
      </w:pPr>
      <w:r w:rsidRPr="00086837">
        <w:rPr>
          <w:bCs/>
        </w:rPr>
        <w:t>- Đối với khoa học, công nghệ, đổi mới sáng tạo và chuyển đổi số:</w:t>
      </w:r>
    </w:p>
    <w:p w14:paraId="2DF65022" w14:textId="77777777" w:rsidR="00F33B58" w:rsidRPr="00086837" w:rsidRDefault="00F33B58" w:rsidP="002E638F">
      <w:pPr>
        <w:spacing w:before="60" w:line="276" w:lineRule="auto"/>
        <w:ind w:firstLine="720"/>
        <w:jc w:val="both"/>
        <w:rPr>
          <w:bCs/>
        </w:rPr>
      </w:pPr>
      <w:r w:rsidRPr="00086837">
        <w:rPr>
          <w:bCs/>
        </w:rPr>
        <w:t>Giải pháp 2 thúc đẩy phát triển các giải pháp công nghệ phục vụ quản trị rủi ro và tuân thủ, đặc biệt các nền tảng phân tích rủi ro, sàng lọc danh mục, truy xuất nguồn gốc theo chuỗi, chữ ký số, hồ sơ điện tử và chia sẻ dữ liệu liên ngành; qua đó tăng hiệu quả kiểm soát hàng hóa lưỡng dụng và giao dịch liên quan CBRN mà vẫn bảo đảm hoạt động nghiên cứu, phát triển và chuyển giao công nghệ hợp pháp. Nhu cầu này đặt trong bối cảnh kinh tế số Việt Nam năm 2024 ước đóng góp 18,3% GDP và thương mại điện tử bán lẻ đạt khoảng 25 tỷ USD; Việt Nam xếp hạng 71/193 về Chính phủ điện tử năm 2024 và lần đầu thuộc nhóm EGDI “Rất cao”; đồng thời đứng thứ 44/133 nền kinh tế trong Chỉ số Đổi mới sáng tạo toàn cầu (GII) 2024</w:t>
      </w:r>
      <w:r w:rsidRPr="00086837">
        <w:rPr>
          <w:rStyle w:val="FootnoteReference"/>
          <w:bCs/>
        </w:rPr>
        <w:footnoteReference w:id="76"/>
      </w:r>
      <w:r w:rsidRPr="00086837">
        <w:rPr>
          <w:bCs/>
        </w:rPr>
        <w:t>. Báo cáo chuyển đổi số quốc gia cũng ghi nhận hoạt động bảo đảm an toàn mạng đã bảo vệ hơn 10,98 triệu người dùng trước website lừa đảo, đặt yêu cầu tích hợp an toàn thông tin vào các hệ thống liên thông phục vụ kiểm soát rủi ro phổ biến WMD</w:t>
      </w:r>
      <w:r w:rsidRPr="00086837">
        <w:rPr>
          <w:rStyle w:val="FootnoteReference"/>
          <w:bCs/>
        </w:rPr>
        <w:footnoteReference w:id="77"/>
      </w:r>
      <w:r w:rsidRPr="00086837">
        <w:rPr>
          <w:bCs/>
        </w:rPr>
        <w:t>.</w:t>
      </w:r>
    </w:p>
    <w:p w14:paraId="5D6CFEBE" w14:textId="77777777" w:rsidR="00F33B58" w:rsidRPr="00086837" w:rsidRDefault="00F33B58" w:rsidP="002E638F">
      <w:pPr>
        <w:spacing w:before="60" w:line="276" w:lineRule="auto"/>
        <w:ind w:firstLine="720"/>
        <w:jc w:val="both"/>
        <w:rPr>
          <w:bCs/>
        </w:rPr>
      </w:pPr>
      <w:r w:rsidRPr="00086837">
        <w:rPr>
          <w:bCs/>
        </w:rPr>
        <w:t>- Đối với các nội dung khác của kinh tế - xã hội:</w:t>
      </w:r>
    </w:p>
    <w:p w14:paraId="3975A96C" w14:textId="77777777" w:rsidR="00F33B58" w:rsidRPr="00086837" w:rsidRDefault="00F33B58" w:rsidP="002E638F">
      <w:pPr>
        <w:spacing w:before="60" w:line="276" w:lineRule="auto"/>
        <w:ind w:firstLine="720"/>
        <w:jc w:val="both"/>
        <w:rPr>
          <w:bCs/>
        </w:rPr>
      </w:pPr>
      <w:r w:rsidRPr="00086837">
        <w:rPr>
          <w:bCs/>
        </w:rPr>
        <w:t>Giải pháp 2 tạo tác động lan tỏa tới môi trường đầu tư - kinh doanh, thương mại, tài chính và ổn định vĩ mô thông qua việc nâng mức tín nhiệm tuân thủ, giảm rủi ro bị lợi dụng trong các hoạt động có yếu tố xuyên biên giới và củng cố tính thông suốt của chuỗi cung ứng, tài trợ thương mại và dòng vốn đầu tư. Quy mô tác động gắn với đặc điểm nền kinh tế có độ mở cao: năm 2024, GDP tăng 7,09%; xuất khẩu hàng hóa và dịch vụ tăng 11,35% và nhập khẩu hàng hóa và dịch vụ tăng 13,49%</w:t>
      </w:r>
      <w:r w:rsidRPr="00086837">
        <w:rPr>
          <w:rStyle w:val="FootnoteReference"/>
          <w:bCs/>
        </w:rPr>
        <w:footnoteReference w:id="78"/>
      </w:r>
      <w:r w:rsidRPr="00086837">
        <w:rPr>
          <w:bCs/>
        </w:rPr>
        <w:t xml:space="preserve">. Khuôn khổ pháp lý thống nhất ở cấp luật, với tiêu chí rủi ro rõ ràng và cơ chế phối hợp – chia sẻ dữ liệu liên ngành, làm giảm rủi ro gián đoạn thanh toán, vận chuyển và thực hiện hợp đồng khi đối tác áp dụng biện pháp kiểm soát chặt, qua đó bảo vệ hoạt động sản xuất, kinh doanh </w:t>
      </w:r>
      <w:r w:rsidRPr="00086837">
        <w:rPr>
          <w:bCs/>
        </w:rPr>
        <w:lastRenderedPageBreak/>
        <w:t>hợp pháp và ổn định xã hội. Về thu hút đầu tư, FDI giải ngân năm 2024 đạt khoảng 25,35 tỷ USD (tăng 9,4%), chiếm 16,5% tổng vốn đầu tư toàn xã hội; uy tín tuân thủ được củng cố hỗ trợ duy trì và mở rộng dòng vốn này trong các ngành chế biến, chế tạo và dịch vụ hiện đại</w:t>
      </w:r>
      <w:r w:rsidRPr="00086837">
        <w:rPr>
          <w:rStyle w:val="FootnoteReference"/>
          <w:bCs/>
        </w:rPr>
        <w:footnoteReference w:id="79"/>
      </w:r>
      <w:r w:rsidRPr="00086837">
        <w:rPr>
          <w:bCs/>
        </w:rPr>
        <w:t>. Đối với an sinh và cân đối vĩ mô, dòng kiều hối lớn tiếp tục bổ trợ cho tiêu dùng và ổn định tài chính; riêng TP. Hồ Chí Minh nhận 10,34 tỷ USD kiều hối năm 2025</w:t>
      </w:r>
      <w:r w:rsidRPr="00086837">
        <w:rPr>
          <w:rStyle w:val="FootnoteReference"/>
          <w:bCs/>
        </w:rPr>
        <w:footnoteReference w:id="80"/>
      </w:r>
      <w:r w:rsidRPr="00086837">
        <w:rPr>
          <w:bCs/>
        </w:rPr>
        <w:t>. Trong giai đoạn đầu triển khai, giải pháp làm phát sinh yêu cầu đầu tư hệ thống quản trị tuân thủ, đào tạo nhân lực và rà soát quy trình đối với một số nhóm chủ thể, nhưng chi phí này được bù đắp bằng lợi ích giảm rủi ro vi phạm và giảm chi phí xử lý sự cố, tranh chấp, gián đoạn giao thương.</w:t>
      </w:r>
    </w:p>
    <w:p w14:paraId="71F16B60" w14:textId="77777777" w:rsidR="00F33B58" w:rsidRPr="00086837" w:rsidRDefault="00F33B58" w:rsidP="002E638F">
      <w:pPr>
        <w:spacing w:before="60" w:line="276" w:lineRule="auto"/>
        <w:ind w:firstLine="720"/>
        <w:jc w:val="both"/>
        <w:rPr>
          <w:bCs/>
        </w:rPr>
      </w:pPr>
      <w:r w:rsidRPr="00086837">
        <w:rPr>
          <w:bCs/>
        </w:rPr>
        <w:t xml:space="preserve">c) Tác động về giới </w:t>
      </w:r>
    </w:p>
    <w:p w14:paraId="55B1253B" w14:textId="77777777" w:rsidR="00F33B58" w:rsidRPr="00086837" w:rsidRDefault="00F33B58" w:rsidP="002E638F">
      <w:pPr>
        <w:spacing w:before="60" w:line="276" w:lineRule="auto"/>
        <w:ind w:firstLine="720"/>
        <w:jc w:val="both"/>
        <w:rPr>
          <w:bCs/>
          <w:spacing w:val="-2"/>
        </w:rPr>
      </w:pPr>
      <w:r w:rsidRPr="00086837">
        <w:rPr>
          <w:bCs/>
          <w:spacing w:val="-2"/>
        </w:rPr>
        <w:t>Giải pháp 2 không quy định tiêu chí phân biệt theo giới và được thiết kế theo tiếp cận dựa trên rủi ro đối với hoạt động, hàng hóa, giao dịch, vì vậy tác động trực tiếp về mặt pháp lý theo giới không phát sinh; tuy nhiên, tác động thực tế thể hiện ở cơ hội và gánh nặng tuân thủ giữa các nhóm lao động nam - nữ trong chuỗi cung ứng, tài chính và nghiên cứu. Năm 2024, tỷ lệ tham gia lực lượng lao động của nữ là 69,1%, thấp hơn nam 78,6%, cho thấy dư địa mở rộng việc làm chất lượng cho lao động nữ khi hình thành các vị trí tuân thủ, kiểm soát thương mại chiến lược, thẩm định đối tác, người sử dụng cuối, quản trị rủi ro và quản trị dữ liệu liên ngành</w:t>
      </w:r>
      <w:r w:rsidRPr="00086837">
        <w:rPr>
          <w:rStyle w:val="FootnoteReference"/>
          <w:bCs/>
          <w:spacing w:val="-2"/>
        </w:rPr>
        <w:footnoteReference w:id="81"/>
      </w:r>
      <w:r w:rsidRPr="00086837">
        <w:rPr>
          <w:bCs/>
          <w:spacing w:val="-2"/>
        </w:rPr>
        <w:t>. Đồng thời, chênh lệch thu nhập theo giới vẫn hiện hữu, với khoảng cách tiền lương khoảng 13,8%, nên việc luật hóa quy trình, tiêu chí rủi ro và chuẩn nghiệp vụ thống nhất góp phần giảm yếu tố “định tính” trong tuyển dụng - đánh giá năng lực ở các vị trí mới hình thành, hỗ trợ tiếp cận bình đẳng hơn đối với lao động nữ. Ở khu vực doanh nghiệp, phụ nữ đang điều hành khoảng 22% doanh nghiệp</w:t>
      </w:r>
      <w:r w:rsidRPr="00086837">
        <w:rPr>
          <w:rStyle w:val="FootnoteReference"/>
          <w:bCs/>
          <w:spacing w:val="-2"/>
        </w:rPr>
        <w:footnoteReference w:id="82"/>
      </w:r>
      <w:r w:rsidRPr="00086837">
        <w:rPr>
          <w:bCs/>
          <w:spacing w:val="-2"/>
        </w:rPr>
        <w:t>; do đó, các yêu cầu lập hồ sơ, lưu vết và sàng lọc giao dịch theo chuỗi làm tăng chi phí tuân thủ ban đầu cho một bộ phận doanh nghiệp nhỏ, trong đó có doanh nghiệp do phụ nữ làm chủ, và đặt yêu cầu thiết kế tài liệu hướng dẫn, tập huấn, công cụ số hóa quy trình theo hướng thân thiện với doanh nghiệp nhỏ, bảo đảm tiếp cận bình đẳng các chương trình hỗ trợ tuân thủ.</w:t>
      </w:r>
    </w:p>
    <w:p w14:paraId="07EE1CE2" w14:textId="77777777" w:rsidR="00F33B58" w:rsidRPr="00086837" w:rsidRDefault="00F33B58" w:rsidP="002E638F">
      <w:pPr>
        <w:spacing w:before="60" w:line="276" w:lineRule="auto"/>
        <w:ind w:firstLine="720"/>
        <w:jc w:val="both"/>
        <w:rPr>
          <w:bCs/>
        </w:rPr>
      </w:pPr>
      <w:r w:rsidRPr="00086837">
        <w:rPr>
          <w:bCs/>
        </w:rPr>
        <w:t xml:space="preserve">d) Tác động của thủ tục hành chính </w:t>
      </w:r>
    </w:p>
    <w:p w14:paraId="54D6B269" w14:textId="77777777" w:rsidR="00F33B58" w:rsidRPr="00086837" w:rsidRDefault="00F33B58" w:rsidP="002E638F">
      <w:pPr>
        <w:spacing w:before="60" w:line="276" w:lineRule="auto"/>
        <w:ind w:firstLine="720"/>
        <w:jc w:val="both"/>
        <w:rPr>
          <w:bCs/>
          <w:spacing w:val="-2"/>
        </w:rPr>
      </w:pPr>
      <w:r w:rsidRPr="00086837">
        <w:rPr>
          <w:bCs/>
          <w:spacing w:val="-2"/>
        </w:rPr>
        <w:t xml:space="preserve">Giải pháp 2 làm phát sinh nhóm thủ tục chuyên biệt phục vụ quản trị rủi ro phổ biến và tài trợ phổ biến WMD theo chuỗi (đăng ký, cấp phép, khai báo, báo cáo, lưu vết hồ sơ, chia sẻ thông tin liên ngành và áp dụng biện pháp khẩn cấp theo thẩm quyền), nên khối lượng hồ sơ, chứng từ tuân thủ tăng ở giai đoạn đầu, </w:t>
      </w:r>
      <w:r w:rsidRPr="00086837">
        <w:rPr>
          <w:bCs/>
          <w:spacing w:val="-2"/>
        </w:rPr>
        <w:lastRenderedPageBreak/>
        <w:t>nhất là với các chủ thể tham gia xuất nhập khẩu và logistics khi 6 tháng đầu năm 2024 ngành Hải quan đã xử lý 8.318.863 tờ khai trên cơ sở áp dụng khoảng 183.007 chỉ số tiêu chí để phân luồng (luồng xanh 66,34%, luồng vàng 30,26%, luồng đỏ 3,41%)</w:t>
      </w:r>
      <w:r w:rsidRPr="00086837">
        <w:rPr>
          <w:rStyle w:val="FootnoteReference"/>
          <w:bCs/>
          <w:spacing w:val="-2"/>
        </w:rPr>
        <w:footnoteReference w:id="83"/>
      </w:r>
      <w:r w:rsidRPr="00086837">
        <w:rPr>
          <w:bCs/>
          <w:spacing w:val="-2"/>
        </w:rPr>
        <w:t>. Tuy vậy, thiết kế theo tiếp cận dựa trên rủi ro và liên thông liên ngành giúp chuẩn hóa tiêu chí, giảm trùng lặp yêu cầu giữa các cơ quan và chuyển mạnh sang xử lý điện tử: 6 tháng đầu năm 2024 đã có hơn 13,9 triệu hồ sơ trực tuyến thực hiện từ Cổng Dịch vụ công Quốc gia, hơn 7,4 triệu giao dịch thanh toán trực tuyến với số tiền hơn 4.620 tỷ đồng; tỷ lệ số hóa kết quả giải quyết TTHC của bộ, ngành đạt 46,36% và của địa phương đạt 58,12%, tạo nền tảng tái sử dụng kết quả điện tử để giảm nộp lại giấy tờ. Đồng thời, từ 18h ngày 27/6/2025, Cổng Dịch vụ công Quốc gia trở thành điểm “một cửa số” tập trung, duy nhất, hỗ trợ tích hợp và vận hành thông suốt thủ tục khi tổ chức bộ máy và mô hình chính quyền địa phương thay đổi. Trong thương mại xuyên biên giới, việc tích hợp thủ tục kiểm soát rủi ro vào Cơ chế một cửa quốc gia giúp giảm hồ sơ giấy và giảm đi lại vì đến 15/8/2023 đã có 250 thủ tục của 13 bộ, ngành kết nối, với gần 6,67 triệu bộ hồ sơ của hơn 64.700 doanh nghiệp thực hiện qua Cổng một cửa quốc gia</w:t>
      </w:r>
      <w:r w:rsidRPr="00086837">
        <w:rPr>
          <w:rStyle w:val="FootnoteReference"/>
          <w:bCs/>
          <w:spacing w:val="-2"/>
        </w:rPr>
        <w:footnoteReference w:id="84"/>
      </w:r>
      <w:r w:rsidRPr="00086837">
        <w:rPr>
          <w:bCs/>
          <w:spacing w:val="-2"/>
        </w:rPr>
        <w:t>. Trên bình diện cải cách TTHC, mục tiêu quốc gia đến cuối năm 2025 là cung cấp 100% dịch vụ công đủ điều kiện theo hình thức trực tuyến toàn trình và xử lý 80% hồ sơ TTHC trực tuyến</w:t>
      </w:r>
      <w:r w:rsidRPr="00086837">
        <w:rPr>
          <w:rStyle w:val="FootnoteReference"/>
          <w:bCs/>
          <w:spacing w:val="-2"/>
        </w:rPr>
        <w:footnoteReference w:id="85"/>
      </w:r>
      <w:r w:rsidRPr="00086837">
        <w:rPr>
          <w:bCs/>
          <w:spacing w:val="-2"/>
        </w:rPr>
        <w:t>, qua đó hạn chế phát sinh chi phí tuân thủ không cần thiết khi triển khai khung kiểm soát mới ở cấp luật.</w:t>
      </w:r>
    </w:p>
    <w:p w14:paraId="034A58B8" w14:textId="77777777" w:rsidR="00D15D7E" w:rsidRDefault="00F33B58" w:rsidP="002E638F">
      <w:pPr>
        <w:spacing w:before="60" w:line="276" w:lineRule="auto"/>
        <w:ind w:firstLine="720"/>
        <w:jc w:val="both"/>
      </w:pPr>
      <w:r w:rsidRPr="00086837">
        <w:t>2.3. Giải pháp tối ưu được lựa chọn và lý do lựa chọn giải pháp</w:t>
      </w:r>
    </w:p>
    <w:p w14:paraId="2C1C2706" w14:textId="3209D6FF" w:rsidR="00D15D7E" w:rsidRPr="00D15D7E" w:rsidRDefault="00D15D7E" w:rsidP="002E638F">
      <w:pPr>
        <w:spacing w:before="60" w:line="276" w:lineRule="auto"/>
        <w:ind w:firstLine="720"/>
        <w:jc w:val="both"/>
        <w:rPr>
          <w:rFonts w:ascii="Times New Roman Italic" w:hAnsi="Times New Roman Italic"/>
          <w:bCs/>
          <w:i/>
          <w:spacing w:val="-2"/>
        </w:rPr>
      </w:pPr>
      <w:r w:rsidRPr="00B57F09">
        <w:rPr>
          <w:bCs/>
          <w:color w:val="000000"/>
          <w:spacing w:val="2"/>
        </w:rPr>
        <w:t xml:space="preserve">Trên cơ sở đối chiếu tác động của hai giải pháp theo các tiêu chí: Mức độ giải quyết vấn đề, tính hợp hiến, tính thống nhất và đồng bộ của hệ thống pháp luật, hiệu lực quản lý theo rủi ro và tính khả thi tổ chức thực hiện, </w:t>
      </w:r>
      <w:r>
        <w:rPr>
          <w:bCs/>
          <w:color w:val="000000"/>
          <w:spacing w:val="2"/>
        </w:rPr>
        <w:t xml:space="preserve">Bộ Quốc phòng </w:t>
      </w:r>
      <w:r w:rsidRPr="00B57F09">
        <w:rPr>
          <w:bCs/>
          <w:color w:val="000000"/>
          <w:spacing w:val="2"/>
        </w:rPr>
        <w:t xml:space="preserve">lựa chọn Giải pháp 2 </w:t>
      </w:r>
      <w:r>
        <w:rPr>
          <w:bCs/>
          <w:color w:val="000000"/>
          <w:spacing w:val="2"/>
        </w:rPr>
        <w:t>“</w:t>
      </w:r>
      <w:r w:rsidRPr="00086837">
        <w:rPr>
          <w:rFonts w:ascii="Times New Roman Italic" w:hAnsi="Times New Roman Italic"/>
          <w:bCs/>
          <w:i/>
          <w:spacing w:val="-2"/>
        </w:rPr>
        <w:t>Xây dựng, ban hành khung pháp lý ở cấp luật để thiết lập hệ thống biện pháp quản lý, kiểm soát đặc thù đối với các hoạt động có nguy cơ dẫn đến phổ biến vũ khí hủy diệt hàng loạt theo cách tiếp cận dựa trên rủi ro và theo chuỗi, bảo đảm tính liên thông liên ngành và hiệu lực thi hành thống nhất</w:t>
      </w:r>
      <w:r>
        <w:rPr>
          <w:rFonts w:ascii="Times New Roman Italic" w:hAnsi="Times New Roman Italic"/>
          <w:bCs/>
          <w:i/>
          <w:spacing w:val="-2"/>
        </w:rPr>
        <w:t xml:space="preserve">” </w:t>
      </w:r>
      <w:r w:rsidRPr="00B57F09">
        <w:rPr>
          <w:bCs/>
          <w:color w:val="000000"/>
          <w:spacing w:val="2"/>
        </w:rPr>
        <w:t xml:space="preserve">là phương án tối ưu. </w:t>
      </w:r>
      <w:r w:rsidRPr="00B57F09">
        <w:rPr>
          <w:b/>
          <w:bCs/>
          <w:color w:val="000000"/>
          <w:spacing w:val="2"/>
        </w:rPr>
        <w:t>Lý do:</w:t>
      </w:r>
    </w:p>
    <w:p w14:paraId="22D6085F" w14:textId="06353C1B" w:rsidR="00F33B58" w:rsidRDefault="0028110B" w:rsidP="002E638F">
      <w:pPr>
        <w:spacing w:before="60" w:line="276" w:lineRule="auto"/>
        <w:ind w:firstLine="720"/>
        <w:jc w:val="both"/>
      </w:pPr>
      <w:r>
        <w:t>K</w:t>
      </w:r>
      <w:r w:rsidR="00F33B58" w:rsidRPr="00086837">
        <w:t xml:space="preserve">hung pháp lý cấp luật tạo hiệu lực ràng buộc cao và nền tảng áp dụng thống nhất giữa các lĩnh vực (ngoại thương, hải quan, hóa chất, sinh học, y tế, năng lượng nguyên tử, khoa học và công nghệ), đáp ứng yêu cầu hiến định về căn cứ hạn chế quyền trong lĩnh vực nhạy cảm gắn với quốc phòng, an ninh; đồng thời thiết lập cơ chế phối hợp liên ngành, chia sẻ dữ liệu và chuẩn kiểm </w:t>
      </w:r>
      <w:r w:rsidR="00F33B58" w:rsidRPr="00086837">
        <w:lastRenderedPageBreak/>
        <w:t>soát rủi ro xuyên suốt chuỗi, khắc phục tình trạng phân mảnh khi chỉ điều chỉnh ở cấp nghị định. Lợi ích dài hạn thể hiện rõ trong bối cảnh quy mô giao dịch lớn (10 tháng năm 2025, tổng kim ngạch xuất, nhập khẩu đạt 762,44 tỷ USD; 6 tháng đầu năm 2024, ngành Hải quan đã phân luồng thông suốt 8.318.863 tờ khai), khi khuôn khổ luật hóa giúp giảm rủi ro gián đoạn thương mại, thanh toán và trung chuyển, tăng tín nhiệm tuân thủ quốc tế và tạo dư địa số hóa quy trình theo hướng liên thông, một cửa. Mặc dù giải pháp yêu cầu nguồn lực xây dựng luật, chuyển đổi quy trình và tăng cường năng lực thực thi trong giai đoạn đầu, hiệu quả phòng ngừa rủi ro phổ biến và tài trợ phổ biến WMD, bảo vệ an ninh quốc gia, an toàn cộng đồng và ổn định môi trường đầu tư - kinh doanh vượt trội so với phương án chỉ sửa đổi, bổ sung nghị định.</w:t>
      </w:r>
    </w:p>
    <w:p w14:paraId="1FFDA753" w14:textId="77777777" w:rsidR="00F33B58" w:rsidRPr="00086837" w:rsidRDefault="00F33B58" w:rsidP="002E638F">
      <w:pPr>
        <w:spacing w:before="60" w:line="276" w:lineRule="auto"/>
        <w:ind w:firstLine="720"/>
        <w:jc w:val="both"/>
        <w:rPr>
          <w:b/>
          <w:lang w:val="vi-VN"/>
        </w:rPr>
      </w:pPr>
      <w:r w:rsidRPr="00086837">
        <w:rPr>
          <w:b/>
          <w:lang w:val="vi-VN"/>
        </w:rPr>
        <w:t xml:space="preserve">3. Chính sách 3: </w:t>
      </w:r>
      <w:r w:rsidRPr="00086837">
        <w:rPr>
          <w:b/>
          <w:bCs/>
          <w:lang w:val="vi-VN"/>
        </w:rPr>
        <w:t>Hoàn thiện cơ chế tổ chức thực thi, nguồn lực phòng, chống phổ biến vũ khí hủy diệt hàng loạt</w:t>
      </w:r>
    </w:p>
    <w:p w14:paraId="6108EA33" w14:textId="77777777" w:rsidR="00F33B58" w:rsidRPr="00086837" w:rsidRDefault="00F33B58" w:rsidP="002E638F">
      <w:pPr>
        <w:spacing w:before="60" w:line="276" w:lineRule="auto"/>
        <w:ind w:firstLine="720"/>
        <w:jc w:val="both"/>
        <w:rPr>
          <w:bCs/>
          <w:lang w:val="vi-VN"/>
        </w:rPr>
      </w:pPr>
      <w:r w:rsidRPr="00086837">
        <w:rPr>
          <w:lang w:val="vi-VN"/>
        </w:rPr>
        <w:t xml:space="preserve">3.1. </w:t>
      </w:r>
      <w:r w:rsidRPr="00086837">
        <w:rPr>
          <w:bCs/>
          <w:lang w:val="vi-VN"/>
        </w:rPr>
        <w:t>Xác định vấn đề</w:t>
      </w:r>
    </w:p>
    <w:p w14:paraId="2E0D9892" w14:textId="77777777" w:rsidR="00F33B58" w:rsidRPr="00086837" w:rsidRDefault="00F33B58" w:rsidP="002E638F">
      <w:pPr>
        <w:spacing w:before="60" w:line="276" w:lineRule="auto"/>
        <w:ind w:firstLine="709"/>
        <w:jc w:val="both"/>
        <w:rPr>
          <w:bCs/>
          <w:i/>
          <w:lang w:val="vi-VN"/>
        </w:rPr>
      </w:pPr>
      <w:r w:rsidRPr="00086837">
        <w:rPr>
          <w:bCs/>
          <w:i/>
          <w:lang w:val="vi-VN"/>
        </w:rPr>
        <w:t>3.1.1. Các vấn đề bất cập</w:t>
      </w:r>
    </w:p>
    <w:p w14:paraId="6472ED33" w14:textId="77777777" w:rsidR="00472305" w:rsidRDefault="00903ADF" w:rsidP="002E638F">
      <w:pPr>
        <w:spacing w:before="60" w:line="276" w:lineRule="auto"/>
        <w:ind w:firstLine="720"/>
        <w:jc w:val="both"/>
        <w:rPr>
          <w:iCs/>
        </w:rPr>
      </w:pPr>
      <w:r w:rsidRPr="00903ADF">
        <w:rPr>
          <w:b/>
          <w:bCs/>
          <w:i/>
        </w:rPr>
        <w:t>Thứ nhất,</w:t>
      </w:r>
      <w:r w:rsidRPr="00903ADF">
        <w:rPr>
          <w:iCs/>
        </w:rPr>
        <w:t xml:space="preserve"> cơ chế tổ chức, điều phối và trách nhiệm thực thi hiện chưa được thiết kế thành một hệ thống thống nhất, ổn định và có tính ràng buộc cao.</w:t>
      </w:r>
    </w:p>
    <w:p w14:paraId="0F8CF8F7" w14:textId="6EF5E99A" w:rsidR="00472305" w:rsidRDefault="00472305" w:rsidP="002E638F">
      <w:pPr>
        <w:spacing w:before="60" w:line="276" w:lineRule="auto"/>
        <w:ind w:firstLine="720"/>
        <w:jc w:val="both"/>
        <w:rPr>
          <w:iCs/>
        </w:rPr>
      </w:pPr>
      <w:r w:rsidRPr="00472305">
        <w:rPr>
          <w:iCs/>
        </w:rPr>
        <w:t xml:space="preserve">Khung pháp lý hiện hành về cơ chế bảo đảm thi hành pháp luật phòng, chống phổ biến </w:t>
      </w:r>
      <w:r>
        <w:rPr>
          <w:iCs/>
        </w:rPr>
        <w:t>WMD</w:t>
      </w:r>
      <w:r w:rsidRPr="00472305">
        <w:rPr>
          <w:iCs/>
        </w:rPr>
        <w:t xml:space="preserve"> hiện chủ yếu được quy định tại Nghị định số 81/2019/NĐ-CP. Nghị định xác lập Cơ quan đầu mối quốc gia là Bộ Quốc phòng, cơ quan thường trực là Binh chủng Hóa học; đồng thời quy định nguyên tắc, chính sách, biện pháp và trách nhiệm của cơ quan, tổ chức, cá nhân trong phòng, chống phổ biến </w:t>
      </w:r>
      <w:r>
        <w:rPr>
          <w:iCs/>
        </w:rPr>
        <w:t xml:space="preserve">WMD </w:t>
      </w:r>
      <w:r w:rsidRPr="00472305">
        <w:rPr>
          <w:iCs/>
        </w:rPr>
        <w:t>tại Điều 1; giao Bộ Quốc phòng chủ trì, phối hợp thực hiện đánh giá rủi ro quốc gia, triển khai hợp tác quốc tế và hoàn thiện văn bản quy phạm pháp luật có liên quan tại Điều 29; phân công trách nhiệm cho các bộ, ngành có liên quan tại các điều từ Điều 29 đến Điều 39. Tuy nhiên, việc nền tảng tổ chức và điều phối chủ yếu được đặt ở cấp nghị định cho thấy cơ chế hiện hành mới dừng ở việc thiết lập khuôn khổ điều phối chung, chưa hình thành đầy đủ một chu trình pháp lý thống nhất, xuyên suốt và có tính ràng buộc cao, bao quát từ phân công, phối hợp, ra quyết định, tổ chức thực hiện, theo dõi, đánh giá đến trách nhiệm giải trình từ trung ương đến địa phương.</w:t>
      </w:r>
    </w:p>
    <w:p w14:paraId="516A84BA" w14:textId="7E7CEF2D" w:rsidR="00472305" w:rsidRDefault="00472305" w:rsidP="002E638F">
      <w:pPr>
        <w:spacing w:before="60" w:line="276" w:lineRule="auto"/>
        <w:ind w:firstLine="720"/>
        <w:jc w:val="both"/>
        <w:rPr>
          <w:iCs/>
        </w:rPr>
      </w:pPr>
      <w:r w:rsidRPr="00472305">
        <w:rPr>
          <w:iCs/>
        </w:rPr>
        <w:t xml:space="preserve">Thực tiễn thi hành cho thấy, mặc dù Nghị định số 81/2019/NĐ-CP đã bước đầu tạo cơ sở cho phối hợp liên ngành, như chia sẻ thông tin về hàng hóa lưỡng dụng, đánh giá rủi ro quốc gia và phối hợp xử lý tàu chở hàng nghi ngờ liên quan đến phổ biến vũ khí hủy diệt hàng loạt, nhưng do chưa có khuôn khổ pháp lý có hiệu lực pháp lý cao và tính ràng buộc chặt chẽ hơn, quy trình phối hợp trên thực tế vẫn phụ thuộc đáng kể vào quy chế nội bộ của từng bộ, ngành </w:t>
      </w:r>
      <w:r w:rsidRPr="00472305">
        <w:rPr>
          <w:iCs/>
        </w:rPr>
        <w:lastRenderedPageBreak/>
        <w:t>và phương thức xử lý theo từng vụ việc cụ thể. Hạn chế này bộc lộ rõ ở cấp địa phương, nơi nguồn lực tổ chức thực hiện còn hạn chế, nhận thức chưa đồng đều, dẫn đến việc phối hợp chưa thật sự thống nhất, kịp thời và hiệu quả, nhất là đối với các vụ việc liên quan đồng thời đến nhiều lĩnh vực như quốc phòng, an ninh, tài chính, hải quan, xuất khẩu, nhập khẩu, khoa học và công nghệ, y tế và môi trường.</w:t>
      </w:r>
      <w:r>
        <w:rPr>
          <w:iCs/>
        </w:rPr>
        <w:t xml:space="preserve"> </w:t>
      </w:r>
      <w:r w:rsidR="00CC5077" w:rsidRPr="00CC5077">
        <w:rPr>
          <w:iCs/>
        </w:rPr>
        <w:t xml:space="preserve">Việc </w:t>
      </w:r>
      <w:r w:rsidR="00CC5077">
        <w:rPr>
          <w:iCs/>
        </w:rPr>
        <w:t xml:space="preserve">Thủ tướng Chính phủ tiếp tục </w:t>
      </w:r>
      <w:r w:rsidR="00CC5077" w:rsidRPr="00CC5077">
        <w:rPr>
          <w:iCs/>
        </w:rPr>
        <w:t xml:space="preserve">ban hành Quyết định số 194/QĐ-TTg năm 2024 để phê duyệt Kế hoạch hành động quốc gia về phòng, chống rửa tiền, tài trợ khủng bố và tài trợ phổ biến </w:t>
      </w:r>
      <w:r w:rsidR="00CC5077">
        <w:rPr>
          <w:iCs/>
        </w:rPr>
        <w:t xml:space="preserve">WMD </w:t>
      </w:r>
      <w:r w:rsidR="00CC5077" w:rsidRPr="00CC5077">
        <w:rPr>
          <w:iCs/>
        </w:rPr>
        <w:t>phản ánh cơ chế điều phối hiện hành vẫn chưa được thể chế hóa đầy đủ, thống nhất và ổn định trong khuôn khổ pháp luật hiện hành.</w:t>
      </w:r>
    </w:p>
    <w:p w14:paraId="0DCE8F2A" w14:textId="77777777" w:rsidR="00903ADF" w:rsidRDefault="00903ADF" w:rsidP="002E638F">
      <w:pPr>
        <w:spacing w:before="60" w:line="276" w:lineRule="auto"/>
        <w:ind w:firstLine="720"/>
        <w:jc w:val="both"/>
        <w:rPr>
          <w:iCs/>
        </w:rPr>
      </w:pPr>
      <w:r w:rsidRPr="00903ADF">
        <w:rPr>
          <w:b/>
          <w:bCs/>
          <w:i/>
        </w:rPr>
        <w:t>Thứ hai,</w:t>
      </w:r>
      <w:r w:rsidRPr="00903ADF">
        <w:rPr>
          <w:iCs/>
        </w:rPr>
        <w:t xml:space="preserve"> cơ chế kiểm tra, giám sát, thanh tra, cưỡng chế thi hành và xử lý các biện pháp phong tỏa, trì hoãn giao dịch, xử lý tài sản liên quan còn phân tán, thiếu đồng bộ và chưa đủ rõ để bảo đảm tuân thủ thống nhất.</w:t>
      </w:r>
    </w:p>
    <w:p w14:paraId="0BCA9A33" w14:textId="465CC40C" w:rsidR="00472305" w:rsidRPr="00472305" w:rsidRDefault="00472305" w:rsidP="002E638F">
      <w:pPr>
        <w:spacing w:before="60" w:line="276" w:lineRule="auto"/>
        <w:ind w:firstLine="720"/>
        <w:jc w:val="both"/>
        <w:rPr>
          <w:iCs/>
        </w:rPr>
      </w:pPr>
      <w:r w:rsidRPr="00472305">
        <w:rPr>
          <w:iCs/>
        </w:rPr>
        <w:t xml:space="preserve">Về mặt pháp lý, Nghị định số 81/2019/NĐ-CP đã đặt ra cơ chế thanh tra, kiểm tra gắn với quản lý rủi ro tại Điều 7 và quy định về xử lý vi phạm tại Điều 23; tuy nhiên, cơ chế này chủ yếu dừng ở việc giao nhiệm vụ kiểm tra, giám sát, thanh tra và “kiến nghị” xử lý hình sự, hành chính hoặc dân sự, chưa thiết kế đầy đủ các biện pháp cưỡng chế trực tiếp, thẩm quyền xử lý và trách nhiệm pháp lý tương ứng đối với các hành vi vi phạm nghĩa vụ phòng, chống phổ biến và tài trợ phổ biến </w:t>
      </w:r>
      <w:r w:rsidR="00CC5077">
        <w:rPr>
          <w:iCs/>
        </w:rPr>
        <w:t>WMD</w:t>
      </w:r>
      <w:r w:rsidRPr="00472305">
        <w:rPr>
          <w:iCs/>
        </w:rPr>
        <w:t xml:space="preserve">. Do đó, hiệu lực thực thi trên thực tế vẫn </w:t>
      </w:r>
      <w:r w:rsidR="00CC5077">
        <w:rPr>
          <w:iCs/>
        </w:rPr>
        <w:t>phụ thuộc</w:t>
      </w:r>
      <w:r w:rsidRPr="00472305">
        <w:rPr>
          <w:iCs/>
        </w:rPr>
        <w:t xml:space="preserve"> vào sự lồng ghép trong pháp luật chuyên ngành, làm cho chế tài áp dụng còn phân tán và khó thống nhất. </w:t>
      </w:r>
    </w:p>
    <w:p w14:paraId="768A564A" w14:textId="59FD3275" w:rsidR="00472305" w:rsidRPr="00472305" w:rsidRDefault="00472305" w:rsidP="002E638F">
      <w:pPr>
        <w:spacing w:before="60" w:line="276" w:lineRule="auto"/>
        <w:ind w:firstLine="720"/>
        <w:jc w:val="both"/>
        <w:rPr>
          <w:iCs/>
        </w:rPr>
      </w:pPr>
      <w:r w:rsidRPr="00472305">
        <w:rPr>
          <w:iCs/>
        </w:rPr>
        <w:t xml:space="preserve">Sự phân tán này thể hiện rõ ở cơ chế danh sách chỉ định, phong tỏa tài sản, trì hoãn giao dịch và xử lý tài sản liên quan. Luật Phòng, chống rửa tiền năm 2022 đã đưa tổ chức, cá nhân liên quan đến phổ biến và tài trợ phổ biến </w:t>
      </w:r>
      <w:r w:rsidR="00CC5077">
        <w:rPr>
          <w:iCs/>
        </w:rPr>
        <w:t xml:space="preserve">WMD </w:t>
      </w:r>
      <w:r w:rsidRPr="00472305">
        <w:rPr>
          <w:iCs/>
        </w:rPr>
        <w:t xml:space="preserve">vào phạm vi “Danh sách đen” tại Điều 3; quy định việc áp dụng ngay biện pháp trì hoãn giao dịch tại Điều 44; phong tỏa tài khoản, niêm phong, phong tỏa hoặc tạm giữ tài sản theo Điều 45; và áp dụng các quy định từ Điều 9 đến Điều 40 của Luật này cho phòng, chống tài trợ phổ biến tại Điều 65. Nghị định số 19/2023/NĐ-CP tiếp tục hướng dẫn căn cứ nhận diện trùng khớp thông tin và trình tự xử lý báo cáo trì hoãn giao dịch. Nghị định số 81/2019/NĐ-CP quy định thêm các yêu cầu về thông báo danh sách bị chỉ định, tạm ngừng lưu thông, phong tỏa, tạm giữ tài sản và xử lý trường hợp phong tỏa nhầm do trùng hoặc gần giống tên. </w:t>
      </w:r>
      <w:r w:rsidR="00CC5077">
        <w:rPr>
          <w:iCs/>
        </w:rPr>
        <w:t>Các quy định trên</w:t>
      </w:r>
      <w:r w:rsidRPr="00472305">
        <w:rPr>
          <w:iCs/>
        </w:rPr>
        <w:t xml:space="preserve"> nằm ở nhiều văn bản làm cho quy trình “lập danh sách</w:t>
      </w:r>
      <w:r w:rsidR="00CC5077">
        <w:rPr>
          <w:iCs/>
        </w:rPr>
        <w:t>,</w:t>
      </w:r>
      <w:r w:rsidRPr="00472305">
        <w:rPr>
          <w:iCs/>
        </w:rPr>
        <w:t xml:space="preserve"> công bố</w:t>
      </w:r>
      <w:r w:rsidR="00CC5077">
        <w:rPr>
          <w:iCs/>
        </w:rPr>
        <w:t xml:space="preserve">, </w:t>
      </w:r>
      <w:r w:rsidRPr="00472305">
        <w:rPr>
          <w:iCs/>
        </w:rPr>
        <w:t>cập nhật</w:t>
      </w:r>
      <w:r w:rsidR="00CC5077">
        <w:rPr>
          <w:iCs/>
        </w:rPr>
        <w:t xml:space="preserve">, </w:t>
      </w:r>
      <w:r w:rsidRPr="00472305">
        <w:rPr>
          <w:iCs/>
        </w:rPr>
        <w:t>trì hoãn giao dịch</w:t>
      </w:r>
      <w:r w:rsidR="00CC5077">
        <w:rPr>
          <w:iCs/>
        </w:rPr>
        <w:t xml:space="preserve">, </w:t>
      </w:r>
      <w:r w:rsidRPr="00472305">
        <w:rPr>
          <w:iCs/>
        </w:rPr>
        <w:t>phong tỏ</w:t>
      </w:r>
      <w:r w:rsidR="00CC5077">
        <w:rPr>
          <w:iCs/>
        </w:rPr>
        <w:t xml:space="preserve">a, </w:t>
      </w:r>
      <w:r w:rsidRPr="00472305">
        <w:rPr>
          <w:iCs/>
        </w:rPr>
        <w:t>giải tỏa</w:t>
      </w:r>
      <w:r w:rsidR="00CC5077">
        <w:rPr>
          <w:iCs/>
        </w:rPr>
        <w:t xml:space="preserve">, </w:t>
      </w:r>
      <w:r w:rsidRPr="00472305">
        <w:rPr>
          <w:iCs/>
        </w:rPr>
        <w:t>khiếu nại</w:t>
      </w:r>
      <w:r w:rsidR="00CC5077">
        <w:rPr>
          <w:iCs/>
        </w:rPr>
        <w:t xml:space="preserve">, </w:t>
      </w:r>
      <w:r w:rsidRPr="00472305">
        <w:rPr>
          <w:iCs/>
        </w:rPr>
        <w:t xml:space="preserve">khắc phục hậu quả” chưa hình thành thành một chuỗi xử lý thống nhất, dễ phát sinh chồng chéo và khó áp dụng đồng bộ. </w:t>
      </w:r>
    </w:p>
    <w:p w14:paraId="3F07BA52" w14:textId="77777777" w:rsidR="00CC5077" w:rsidRDefault="00472305" w:rsidP="002E638F">
      <w:pPr>
        <w:spacing w:before="60" w:line="276" w:lineRule="auto"/>
        <w:ind w:firstLine="720"/>
        <w:jc w:val="both"/>
        <w:rPr>
          <w:bCs/>
          <w:iCs/>
        </w:rPr>
      </w:pPr>
      <w:r w:rsidRPr="00472305">
        <w:rPr>
          <w:iCs/>
        </w:rPr>
        <w:lastRenderedPageBreak/>
        <w:t xml:space="preserve">Về thực tiễn, FATF xác nhận Việt Nam vẫn đang thuộc diện “tăng cường giám sát” (grey list) tính đến tháng 02/2026, nghĩa là còn phải tiếp tục khắc phục các thiếu hụt chiến lược trong cơ chế chống rửa tiền, tài trợ khủng bố và tài trợ phổ biến. </w:t>
      </w:r>
      <w:r w:rsidR="00CC5077">
        <w:rPr>
          <w:iCs/>
        </w:rPr>
        <w:t>C</w:t>
      </w:r>
      <w:r w:rsidRPr="00472305">
        <w:rPr>
          <w:iCs/>
        </w:rPr>
        <w:t xml:space="preserve">ác thiếu hụt này bao gồm việc chưa làm rõ đầy đủ thẩm quyền xử phạt, trình tự xử phạt, biện pháp khắc phục hậu quả đối với các hành vi vi phạm nghĩa vụ “không chậm trễ” khi triển khai trừng phạt tài chính có mục tiêu; đồng thời thực tiễn còn cho thấy việc phong tỏa, trì hoãn giao dịch đối với tài sản ngoài tài khoản ngân hàng, như tài sản số, bất động sản hoặc hàng hóa lưỡng dụng, còn thiếu cơ chế đồng bộ. </w:t>
      </w:r>
      <w:r w:rsidR="00CC5077" w:rsidRPr="00086837">
        <w:rPr>
          <w:bCs/>
          <w:iCs/>
        </w:rPr>
        <w:t>theo báo cáo của Bộ Công an, từ tháng 12/2019 đến tháng 5/2024, cơ quan chức năng phát hiện gần 20.000 vụ lừa đảo trực tuyến, gây thiệt hại hơn 12.000 tỷ VND</w:t>
      </w:r>
      <w:r w:rsidR="00CC5077" w:rsidRPr="00086837">
        <w:rPr>
          <w:rStyle w:val="FootnoteReference"/>
          <w:bCs/>
          <w:iCs/>
        </w:rPr>
        <w:footnoteReference w:id="86"/>
      </w:r>
      <w:r w:rsidR="00CC5077" w:rsidRPr="00086837">
        <w:rPr>
          <w:bCs/>
          <w:iCs/>
        </w:rPr>
        <w:t>, trong đó một phần liên quan đến rửa tiền qua tài sản số và kênh ngân hàng, như vụ đường dây đánh bạc và rửa tiền lên đến 1.200 tỷ VND năm 2024-2025, nơi tội phạm chuyển tiền qua hệ thống tài chính rồi mua USDT để xóa dấu vết, nhưng thiếu cơ chế phong tỏa kịp thời ngoài tài khoản ngân hàng đã làm giảm hiệu quả xử lý. Tương tự, năm 2023, người dân Việt Nam bị lừa đảo trực tuyến khoảng 8.000-10.000 tỷ VND với 1.500 vụ án khởi tố, và năm 2024 thiệt hại vượt 4.200 tỷ VND, phản ánh lỗ hổng trong việc trì hoãn và phong tỏa giao dịch nghi ngờ liên quan đến tài trợ phổ biến, đặc biệt khi Việt Nam vẫn nằm trong "Danh sách Xám"</w:t>
      </w:r>
      <w:r w:rsidR="00CC5077" w:rsidRPr="00086837">
        <w:rPr>
          <w:rStyle w:val="FootnoteReference"/>
          <w:bCs/>
          <w:iCs/>
        </w:rPr>
        <w:footnoteReference w:id="87"/>
      </w:r>
      <w:r w:rsidR="00CC5077" w:rsidRPr="00086837">
        <w:rPr>
          <w:bCs/>
          <w:iCs/>
        </w:rPr>
        <w:t xml:space="preserve"> của FATF từ năm 2023 do bất cập trong thực thi trừng phạt tài chính mục tiêu (TFS) đối với phổ biến WMD. </w:t>
      </w:r>
    </w:p>
    <w:p w14:paraId="409DB785" w14:textId="1331257D" w:rsidR="00542000" w:rsidRPr="00086837" w:rsidRDefault="00542000" w:rsidP="002E638F">
      <w:pPr>
        <w:spacing w:before="60" w:line="276" w:lineRule="auto"/>
        <w:ind w:firstLine="720"/>
        <w:jc w:val="both"/>
        <w:rPr>
          <w:bCs/>
          <w:iCs/>
        </w:rPr>
      </w:pPr>
      <w:r>
        <w:rPr>
          <w:bCs/>
          <w:iCs/>
        </w:rPr>
        <w:t>T</w:t>
      </w:r>
      <w:r w:rsidRPr="00086837">
        <w:rPr>
          <w:bCs/>
          <w:iCs/>
        </w:rPr>
        <w:t>heo báo cáo của IAEA, từ 2020-2025, toàn cầu ghi nhận khoảng 300 vụ buôn lậu vật liệu hạt nhân và phóng xạ, chủ yếu ở châu Á và Đông Âu, với Việt Nam có nguy cơ cao do vị trí địa lý và chuỗi cung ứng thương mại lớn, nhưng hệ thống phối hợp hiện tại chưa tích hợp đầy đủ các công cụ như đánh giá rủi ro quốc gia định kỳ hoặc hợp tác chặt chẽ với các tổ chức quốc tế để xử lý các vụ việc liên quan đến tài trợ phổ biến WMD, dẫn đến hiệu quả thực thi chưa cao. Hơn nữa, Quyết định 828/QĐ-TTg năm 2021 về đánh giá rủi ro quốc gia về tài trợ phổ biến WMD đã chỉ ra rằng, dù Nghị định 81</w:t>
      </w:r>
      <w:r>
        <w:rPr>
          <w:bCs/>
          <w:iCs/>
        </w:rPr>
        <w:t>/2019/NĐ-CP</w:t>
      </w:r>
      <w:r w:rsidRPr="00086837">
        <w:rPr>
          <w:bCs/>
          <w:iCs/>
        </w:rPr>
        <w:t xml:space="preserve"> là bước tiến đầu tiên, nhưng thiếu ràng buộc pháp lý ở cấp luật làm hạn chế phối hợp liên ngành, đặc biệt trong lĩnh vực tài chính và hải quan, nơi các vụ vi phạm chung tăng từ 12.949 vụ năm 2024 (trị giá 23.757 tỷ VND) lên 13.328 vụ trong 9 tháng đầu 2025 (trị giá 17.695 tỷ VND)</w:t>
      </w:r>
      <w:r w:rsidRPr="00086837">
        <w:rPr>
          <w:rStyle w:val="FootnoteReference"/>
          <w:bCs/>
          <w:iCs/>
        </w:rPr>
        <w:footnoteReference w:id="88"/>
      </w:r>
      <w:r w:rsidRPr="00086837">
        <w:rPr>
          <w:bCs/>
          <w:iCs/>
        </w:rPr>
        <w:t xml:space="preserve">, nhưng phần lớn không tập trung vào rủi ro WMD cụ thể do thiếu cơ chế ưu tiên. </w:t>
      </w:r>
    </w:p>
    <w:p w14:paraId="23F0413F" w14:textId="5F77F996" w:rsidR="00472305" w:rsidRDefault="00472305" w:rsidP="002E638F">
      <w:pPr>
        <w:spacing w:before="60" w:line="276" w:lineRule="auto"/>
        <w:ind w:firstLine="720"/>
        <w:jc w:val="both"/>
        <w:rPr>
          <w:iCs/>
        </w:rPr>
      </w:pPr>
      <w:r w:rsidRPr="00472305">
        <w:rPr>
          <w:iCs/>
        </w:rPr>
        <w:lastRenderedPageBreak/>
        <w:t>Điều này cho thấy “thẩm quyền kiểm soát” về hình thức đã có, nhưng “chuẩn kiểm soát và cưỡng chế theo rủi ro phổ biến” vẫn chưa được thiết kế đầy đủ để bảo đảm tuân thủ thống nhất.</w:t>
      </w:r>
    </w:p>
    <w:p w14:paraId="2652147F" w14:textId="53454837" w:rsidR="00903ADF" w:rsidRDefault="00903ADF" w:rsidP="002E638F">
      <w:pPr>
        <w:spacing w:before="60" w:line="276" w:lineRule="auto"/>
        <w:ind w:firstLine="720"/>
        <w:jc w:val="both"/>
        <w:rPr>
          <w:iCs/>
        </w:rPr>
      </w:pPr>
      <w:r w:rsidRPr="00903ADF">
        <w:rPr>
          <w:b/>
          <w:bCs/>
          <w:i/>
        </w:rPr>
        <w:t>Thứ ba,</w:t>
      </w:r>
      <w:r w:rsidRPr="00903ADF">
        <w:rPr>
          <w:iCs/>
        </w:rPr>
        <w:t xml:space="preserve"> cơ chế chia sẻ thông tin, dữ liệu, bảo mật thông tin và đánh giá hiệu quả thực thi chưa được thiết kế thành hệ thống liên thông, phục vụ kịp thời cho tổ chức thực hiện.</w:t>
      </w:r>
    </w:p>
    <w:p w14:paraId="44931A99" w14:textId="3A7D8E7A" w:rsidR="00472305" w:rsidRPr="00472305" w:rsidRDefault="00472305" w:rsidP="002E638F">
      <w:pPr>
        <w:spacing w:before="60" w:line="276" w:lineRule="auto"/>
        <w:ind w:firstLine="720"/>
        <w:jc w:val="both"/>
        <w:rPr>
          <w:iCs/>
        </w:rPr>
      </w:pPr>
      <w:r w:rsidRPr="00472305">
        <w:rPr>
          <w:iCs/>
        </w:rPr>
        <w:t xml:space="preserve">Nghị định số 81/2019/NĐ-CP đã yêu cầu trao đổi thông tin kịp thời qua đường dây nóng, trang thông tin điện tử hoặc bằng văn bản theo định kỳ 06 tháng, 01 năm hoặc đột xuất; đồng thời đặt ra yêu cầu cập nhật, công bố danh sách tổ chức, cá nhân bị chỉ định và phối hợp cung cấp thông tin cho tổ chức quốc tế, quốc gia khác. Luật Bảo vệ bí mật nhà nước năm 2018 và Nghị định số 26/2020/NĐ-CP quy định nguyên tắc, trình tự, thẩm quyền bảo vệ, cung cấp và chuyển giao bí mật nhà nước; Luật Phòng, chống rửa tiền năm 2022 và Nghị định số 19/2023/NĐ-CP cũng xác định nghĩa vụ bảo mật thông tin và chuyển giao thông tin giao dịch đáng ngờ cho cơ quan có thẩm quyền. Tuy nhiên, các quy định này chưa được kết nối thành một hệ thống thông tin liên thông, có phân loại, có chuẩn dữ liệu, có phân quyền truy cập và có thời hạn phản hồi rõ ràng dành riêng cho lĩnh vực phòng, chống phổ biến và tài trợ phổ biến </w:t>
      </w:r>
      <w:r w:rsidR="00213AAD">
        <w:rPr>
          <w:iCs/>
        </w:rPr>
        <w:t>WMD.</w:t>
      </w:r>
    </w:p>
    <w:p w14:paraId="537C8EAE" w14:textId="72560B39" w:rsidR="00472305" w:rsidRPr="00903ADF" w:rsidRDefault="00472305" w:rsidP="002E638F">
      <w:pPr>
        <w:spacing w:before="60" w:line="276" w:lineRule="auto"/>
        <w:ind w:firstLine="720"/>
        <w:jc w:val="both"/>
        <w:rPr>
          <w:iCs/>
        </w:rPr>
      </w:pPr>
      <w:r w:rsidRPr="00472305">
        <w:rPr>
          <w:iCs/>
        </w:rPr>
        <w:t>Khoảng trống này dẫn đến một yêu cầu thực tiễn rất rõ: cơ chế chia sẻ thông tin phải vừa “nhanh” để đáp ứng yêu cầu không chậm trễ trong ngăn chặn rủi ro</w:t>
      </w:r>
      <w:r w:rsidR="00213AAD">
        <w:rPr>
          <w:iCs/>
        </w:rPr>
        <w:t xml:space="preserve"> </w:t>
      </w:r>
      <w:r w:rsidRPr="00472305">
        <w:rPr>
          <w:iCs/>
        </w:rPr>
        <w:t xml:space="preserve">để bảo đảm an ninh, an toàn thông tin và trách nhiệm pháp lý của chủ thể cung cấp, tiếp nhận. Tuy nhiên, </w:t>
      </w:r>
      <w:r w:rsidR="00213AAD">
        <w:rPr>
          <w:iCs/>
        </w:rPr>
        <w:t>pháp luật</w:t>
      </w:r>
      <w:r w:rsidRPr="00472305">
        <w:rPr>
          <w:iCs/>
        </w:rPr>
        <w:t xml:space="preserve"> hiện hành chưa thiết kế đầy đủ cơ chế dữ liệu dùng chung, chuẩn hóa định dạng, chuẩn thời gian phản hồi và kênh trao đổi an toàn cho thông tin nhạy cảm liên quan đến phổ biến </w:t>
      </w:r>
      <w:r w:rsidR="00213AAD">
        <w:rPr>
          <w:iCs/>
        </w:rPr>
        <w:t>WMD</w:t>
      </w:r>
      <w:r w:rsidRPr="00472305">
        <w:rPr>
          <w:iCs/>
        </w:rPr>
        <w:t>. Đồng thời, cơ chế đánh giá hiệu quả thực thi đối với riêng lĩnh vực này cũng còn là khoảng trống</w:t>
      </w:r>
      <w:r w:rsidR="00213AAD">
        <w:rPr>
          <w:iCs/>
        </w:rPr>
        <w:t xml:space="preserve">, </w:t>
      </w:r>
      <w:r w:rsidRPr="00472305">
        <w:rPr>
          <w:iCs/>
        </w:rPr>
        <w:t>chưa có bộ tiêu chí, chỉ số thống nhất để đo mức độ tuân thủ “không chậm trễ”, mức độ bao phủ rà soát danh sách, hiệu quả phong tỏa, trì hoãn, chất lượng phối hợp liên ngành, năng lực phản ứng và hiệu quả khắc phục hậu quả; cũng chưa có cơ chế tự đánh giá, đánh giá độc lập, kiểm tra chéo và buộc khắc phục sau thanh tra, kiểm tra. Vì vậy, việc đo lường chất lượng thực thi và trách nhiệm giải trình vẫn thiếu nền tảng pháp lý thống nhất.</w:t>
      </w:r>
    </w:p>
    <w:p w14:paraId="74E47980" w14:textId="77777777" w:rsidR="00903ADF" w:rsidRDefault="00903ADF" w:rsidP="002E638F">
      <w:pPr>
        <w:spacing w:before="60" w:line="276" w:lineRule="auto"/>
        <w:ind w:firstLine="720"/>
        <w:jc w:val="both"/>
        <w:rPr>
          <w:iCs/>
        </w:rPr>
      </w:pPr>
      <w:r w:rsidRPr="00903ADF">
        <w:rPr>
          <w:b/>
          <w:bCs/>
          <w:i/>
        </w:rPr>
        <w:t>Thứ tư,</w:t>
      </w:r>
      <w:r w:rsidRPr="00903ADF">
        <w:rPr>
          <w:iCs/>
        </w:rPr>
        <w:t xml:space="preserve"> cơ chế bảo đảm nguồn lực, năng lực, điều kiện kỹ thuật và chế độ, chính sách đặc thù đối với lực lượng thực thi còn thiếu tính ổn định và chưa tương xứng với yêu cầu nhiệm vụ.</w:t>
      </w:r>
    </w:p>
    <w:p w14:paraId="0CAE031E" w14:textId="550EFC7A" w:rsidR="00472305" w:rsidRPr="00472305" w:rsidRDefault="00472305" w:rsidP="00BD588B">
      <w:pPr>
        <w:spacing w:before="80" w:line="269" w:lineRule="auto"/>
        <w:ind w:firstLine="720"/>
        <w:jc w:val="both"/>
        <w:rPr>
          <w:iCs/>
        </w:rPr>
      </w:pPr>
      <w:r w:rsidRPr="00472305">
        <w:rPr>
          <w:iCs/>
        </w:rPr>
        <w:t xml:space="preserve">Nghị định số 81/2019/NĐ-CP đã quy định nguyên tắc bảo đảm kinh phí từ ngân sách nhà nước trong dự toán hằng năm và các nguồn hợp pháp khác; đồng thời đặt ra yêu cầu xây dựng chương trình huấn luyện, diễn tập, phương án </w:t>
      </w:r>
      <w:bookmarkStart w:id="1" w:name="_GoBack"/>
      <w:r w:rsidRPr="00472305">
        <w:rPr>
          <w:iCs/>
        </w:rPr>
        <w:lastRenderedPageBreak/>
        <w:t>phòng ngừa, ứng phó. Tuy nhiên, các quy định này mới dừng ở “nguyên tắc nguồn”, chưa làm rõ yêu cầu tối thiểu về nhân lực chuyên trách, năng lực kỹ thuật theo từng lĩnh vực như giám định, kiểm nghiệm, phát hiện, truy vết, quản lý vật liệu, an toàn</w:t>
      </w:r>
      <w:r w:rsidR="00213AAD">
        <w:rPr>
          <w:iCs/>
        </w:rPr>
        <w:t>,</w:t>
      </w:r>
      <w:r w:rsidRPr="00472305">
        <w:rPr>
          <w:iCs/>
        </w:rPr>
        <w:t xml:space="preserve"> an ninh; chưa xác lập rõ cơ chế đầu tư trang thiết bị, duy trì năng lực thường trực ở các tuyến, địa bàn trọng điểm và trách nhiệm phân bổ, sử dụng nguồn lực gắn với mức độ rủi ro và kết quả thực thi. </w:t>
      </w:r>
    </w:p>
    <w:p w14:paraId="5CD3C867" w14:textId="5E55265C" w:rsidR="00472305" w:rsidRPr="00903ADF" w:rsidRDefault="00472305" w:rsidP="00BD588B">
      <w:pPr>
        <w:spacing w:before="80" w:line="269" w:lineRule="auto"/>
        <w:ind w:firstLine="720"/>
        <w:jc w:val="both"/>
        <w:rPr>
          <w:iCs/>
        </w:rPr>
      </w:pPr>
      <w:r w:rsidRPr="00472305">
        <w:rPr>
          <w:iCs/>
        </w:rPr>
        <w:t xml:space="preserve">Bên cạnh đó, pháp luật hiện hành cũng chưa thiết lập đầy đủ, thống nhất chế độ, chính sách đặc thù đối với lực lượng, cơ quan, tổ chức trực tiếp tham gia phòng, chống phổ biến và tài trợ phổ biến </w:t>
      </w:r>
      <w:r w:rsidR="00213AAD">
        <w:rPr>
          <w:iCs/>
        </w:rPr>
        <w:t>WMD</w:t>
      </w:r>
      <w:r w:rsidRPr="00472305">
        <w:rPr>
          <w:iCs/>
        </w:rPr>
        <w:t>, như phụ cấp đặc thù, trang bị bảo hộ, chăm sóc sức khỏe, bảo hiểm rủi ro nghề nghiệp, bồi dưỡng chuyên môn chuyên sâu, chế độ hỗ trợ khi xử lý tình huống nguy hiểm và cơ chế thu hút</w:t>
      </w:r>
      <w:r w:rsidR="00213AAD">
        <w:rPr>
          <w:iCs/>
        </w:rPr>
        <w:t xml:space="preserve"> </w:t>
      </w:r>
      <w:r w:rsidRPr="00472305">
        <w:rPr>
          <w:iCs/>
        </w:rPr>
        <w:t>nhân lực chất lượng cao. Trong khi đây là lĩnh vực liên ngành, yêu cầu chuyên môn sâu, mức độ bảo mật cao và tiềm ẩn rủi ro lớn đối với sức khỏe, an toàn và áp lực nghề nghiệp, việc chưa có chế độ, chính sách tương xứng làm ảnh hưởng trực tiếp đến khả năng xây dựng lực lượng chuyên trách, duy trì năng lực thường trực và bảo đảm hiệu quả tổ chức thực hiện trong thực tiễn.</w:t>
      </w:r>
    </w:p>
    <w:p w14:paraId="474D92AE" w14:textId="77777777" w:rsidR="00903ADF" w:rsidRDefault="00903ADF" w:rsidP="00BD588B">
      <w:pPr>
        <w:spacing w:before="80" w:line="269" w:lineRule="auto"/>
        <w:ind w:firstLine="720"/>
        <w:jc w:val="both"/>
        <w:rPr>
          <w:iCs/>
        </w:rPr>
      </w:pPr>
      <w:r w:rsidRPr="00903ADF">
        <w:rPr>
          <w:b/>
          <w:bCs/>
          <w:i/>
        </w:rPr>
        <w:t>Thứ năm,</w:t>
      </w:r>
      <w:r w:rsidRPr="00903ADF">
        <w:rPr>
          <w:iCs/>
        </w:rPr>
        <w:t xml:space="preserve"> cơ chế hợp tác quốc tế phục vụ tổ chức thực hiện chưa được thiết kế thành khuôn khổ thống nhất, gắn chặt với đầu mối, trách nhiệm và hiệu quả phối hợp.</w:t>
      </w:r>
    </w:p>
    <w:p w14:paraId="724F04E7" w14:textId="368A14C3" w:rsidR="00472305" w:rsidRPr="00472305" w:rsidRDefault="00472305" w:rsidP="00BD588B">
      <w:pPr>
        <w:spacing w:before="80" w:line="269" w:lineRule="auto"/>
        <w:ind w:firstLine="720"/>
        <w:jc w:val="both"/>
        <w:rPr>
          <w:iCs/>
        </w:rPr>
      </w:pPr>
      <w:r w:rsidRPr="00472305">
        <w:rPr>
          <w:iCs/>
        </w:rPr>
        <w:t xml:space="preserve">Nghị định số 81/2019/NĐ-CP quy định trách nhiệm tiếp nhận, xử lý yêu cầu của quốc gia khác về xác định tổ chức, cá nhân liên quan; tổng hợp báo cáo quốc gia gửi các ủy ban trừng phạt của Hội đồng Bảo an Liên hợp quốc; chia sẻ thông tin với tổ chức quốc tế, khu vực và quốc gia thành viên khác. Luật Phòng, chống rửa tiền năm 2022 cũng thiết lập nguyên tắc hợp tác quốc tế, trao đổi, cung cấp, chuyển giao thông tin với cơ quan có thẩm quyền nước ngoài và các trường hợp có thể từ chối cung cấp thông tin. Đồng thời, Nghị quyết 1540 (2004) yêu cầu các quốc gia ban hành và thực thi pháp luật có hiệu lực, thiết lập các biện pháp kiểm soát trong nước thích hợp và tăng cường hợp tác quốc tế để ngăn ngừa phổ biến </w:t>
      </w:r>
      <w:r w:rsidR="00213AAD">
        <w:rPr>
          <w:iCs/>
        </w:rPr>
        <w:t>WMD</w:t>
      </w:r>
      <w:r w:rsidRPr="00472305">
        <w:rPr>
          <w:iCs/>
        </w:rPr>
        <w:t xml:space="preserve"> đối với chủ thể phi nhà nước. </w:t>
      </w:r>
    </w:p>
    <w:p w14:paraId="40878441" w14:textId="6A4B4272" w:rsidR="00F33B58" w:rsidRPr="00086837" w:rsidRDefault="00472305" w:rsidP="00BD588B">
      <w:pPr>
        <w:spacing w:before="80" w:line="269" w:lineRule="auto"/>
        <w:ind w:firstLine="720"/>
        <w:jc w:val="both"/>
        <w:rPr>
          <w:bCs/>
          <w:iCs/>
          <w:lang w:val="vi-VN"/>
        </w:rPr>
      </w:pPr>
      <w:r w:rsidRPr="00472305">
        <w:rPr>
          <w:iCs/>
        </w:rPr>
        <w:t xml:space="preserve">Tuy nhiên, các cơ chế hợp tác này vẫn chưa được quy tụ thành một khuôn khổ thống nhất riêng cho tổ chức thực hiện trong lĩnh vực phòng, chống phổ biến và tài trợ phổ biến vũ khí hủy diệt hàng loạt. Khoảng trống hiện nay nằm ở chỗ chưa xác lập rõ đầu mối trao đổi theo từng nhóm nội dung, chưa chuẩn hóa phạm vi thông tin, thời hạn phản hồi, cơ chế bảo đảm bí mật, theo dõi và đánh giá hiệu quả hợp tác; đồng thời chưa hình thành cơ chế gắn kết giữa nghĩa vụ hợp tác quốc tế với cơ chế điều phối và trách nhiệm giải trình trong nước. </w:t>
      </w:r>
    </w:p>
    <w:p w14:paraId="29E98BD4" w14:textId="77777777" w:rsidR="00F33B58" w:rsidRPr="00086837" w:rsidRDefault="00F33B58" w:rsidP="00BD588B">
      <w:pPr>
        <w:spacing w:before="80" w:line="269" w:lineRule="auto"/>
        <w:ind w:firstLine="709"/>
        <w:jc w:val="both"/>
        <w:rPr>
          <w:bCs/>
          <w:i/>
          <w:lang w:val="vi-VN"/>
        </w:rPr>
      </w:pPr>
      <w:r w:rsidRPr="00086837">
        <w:rPr>
          <w:bCs/>
          <w:i/>
          <w:lang w:val="vi-VN"/>
        </w:rPr>
        <w:t>3.1.2. Nguyên nhân của những bất cập</w:t>
      </w:r>
    </w:p>
    <w:bookmarkEnd w:id="1"/>
    <w:p w14:paraId="1E1BE97A" w14:textId="77777777" w:rsidR="00775276" w:rsidRPr="00775276" w:rsidRDefault="00775276" w:rsidP="002E638F">
      <w:pPr>
        <w:widowControl w:val="0"/>
        <w:spacing w:before="60" w:line="276" w:lineRule="auto"/>
        <w:ind w:firstLine="709"/>
        <w:jc w:val="both"/>
        <w:rPr>
          <w:iCs/>
        </w:rPr>
      </w:pPr>
      <w:r w:rsidRPr="00775276">
        <w:rPr>
          <w:b/>
          <w:bCs/>
          <w:i/>
        </w:rPr>
        <w:t>Thứ nhất,</w:t>
      </w:r>
      <w:r w:rsidRPr="00775276">
        <w:rPr>
          <w:iCs/>
        </w:rPr>
        <w:t xml:space="preserve"> khung pháp lý hiện hành chủ yếu được thiết lập ở cấp nghị </w:t>
      </w:r>
      <w:r w:rsidRPr="00775276">
        <w:rPr>
          <w:iCs/>
        </w:rPr>
        <w:lastRenderedPageBreak/>
        <w:t>định, mới dừng ở phân công đầu mối và nguyên tắc phối hợp, chưa tạo được cơ chế tổ chức thực thi thống nhất, ổn định và có tính ràng buộc cao.</w:t>
      </w:r>
    </w:p>
    <w:p w14:paraId="2FD8AD9C" w14:textId="77777777" w:rsidR="00775276" w:rsidRPr="00775276" w:rsidRDefault="00775276" w:rsidP="002E638F">
      <w:pPr>
        <w:widowControl w:val="0"/>
        <w:spacing w:before="60" w:line="276" w:lineRule="auto"/>
        <w:ind w:firstLine="709"/>
        <w:jc w:val="both"/>
        <w:rPr>
          <w:iCs/>
          <w:spacing w:val="-2"/>
        </w:rPr>
      </w:pPr>
      <w:r w:rsidRPr="00775276">
        <w:rPr>
          <w:b/>
          <w:bCs/>
          <w:i/>
          <w:spacing w:val="-2"/>
        </w:rPr>
        <w:t>Thứ hai,</w:t>
      </w:r>
      <w:r w:rsidRPr="00775276">
        <w:rPr>
          <w:iCs/>
          <w:spacing w:val="-2"/>
        </w:rPr>
        <w:t xml:space="preserve"> các quy định về kiểm tra, giám sát, thanh tra, cưỡng chế thi hành, phong tỏa tài sản, trì hoãn giao dịch và xử lý tài sản liên quan còn phân tán ở nhiều văn bản, chưa được tích hợp thành một quy trình thống nhất, đồng bộ.</w:t>
      </w:r>
    </w:p>
    <w:p w14:paraId="26890DAB" w14:textId="77777777" w:rsidR="00775276" w:rsidRPr="00775276" w:rsidRDefault="00775276" w:rsidP="002E638F">
      <w:pPr>
        <w:widowControl w:val="0"/>
        <w:spacing w:before="60" w:line="276" w:lineRule="auto"/>
        <w:ind w:firstLine="709"/>
        <w:jc w:val="both"/>
        <w:rPr>
          <w:iCs/>
        </w:rPr>
      </w:pPr>
      <w:r w:rsidRPr="00775276">
        <w:rPr>
          <w:b/>
          <w:bCs/>
          <w:i/>
        </w:rPr>
        <w:t>Thứ ba,</w:t>
      </w:r>
      <w:r w:rsidRPr="00775276">
        <w:rPr>
          <w:iCs/>
        </w:rPr>
        <w:t xml:space="preserve"> pháp luật hiện hành chưa thiết lập đầy đủ cơ chế chia sẻ thông tin, dữ liệu và đánh giá hiệu quả thực thi theo hướng liên thông, kịp thời, vừa bảo đảm yêu cầu phối hợp nhanh, vừa đáp ứng yêu cầu bảo mật thông tin.</w:t>
      </w:r>
    </w:p>
    <w:p w14:paraId="72DE2459" w14:textId="77777777" w:rsidR="00775276" w:rsidRPr="00775276" w:rsidRDefault="00775276" w:rsidP="002E638F">
      <w:pPr>
        <w:widowControl w:val="0"/>
        <w:spacing w:before="60" w:line="276" w:lineRule="auto"/>
        <w:ind w:firstLine="709"/>
        <w:jc w:val="both"/>
        <w:rPr>
          <w:iCs/>
        </w:rPr>
      </w:pPr>
      <w:r w:rsidRPr="00775276">
        <w:rPr>
          <w:b/>
          <w:bCs/>
          <w:i/>
        </w:rPr>
        <w:t>Thứ tư,</w:t>
      </w:r>
      <w:r w:rsidRPr="00775276">
        <w:rPr>
          <w:iCs/>
        </w:rPr>
        <w:t xml:space="preserve"> quy định về bảo đảm nguồn lực, năng lực, điều kiện kỹ thuật và chế độ, chính sách đối với lực lượng thực thi mới dừng ở mức nguyên tắc, chưa tạo được nền tảng ổn định, lâu dài và tương xứng với yêu cầu nhiệm vụ.</w:t>
      </w:r>
    </w:p>
    <w:p w14:paraId="4F255242" w14:textId="77777777" w:rsidR="00775276" w:rsidRPr="00775276" w:rsidRDefault="00775276" w:rsidP="002E638F">
      <w:pPr>
        <w:widowControl w:val="0"/>
        <w:spacing w:before="60" w:line="276" w:lineRule="auto"/>
        <w:ind w:firstLine="709"/>
        <w:jc w:val="both"/>
        <w:rPr>
          <w:iCs/>
        </w:rPr>
      </w:pPr>
      <w:r w:rsidRPr="00775276">
        <w:rPr>
          <w:b/>
          <w:bCs/>
          <w:i/>
        </w:rPr>
        <w:t>Thứ năm,</w:t>
      </w:r>
      <w:r w:rsidRPr="00775276">
        <w:rPr>
          <w:iCs/>
        </w:rPr>
        <w:t xml:space="preserve"> cơ chế hợp tác quốc tế hiện mới được quy định ở mức trách nhiệm chung, chưa hình thành khuôn khổ thống nhất về đầu mối, phạm vi thông tin, thời hạn phản hồi, bảo đảm bí mật và đánh giá hiệu quả phối hợp.</w:t>
      </w:r>
    </w:p>
    <w:p w14:paraId="563447D3" w14:textId="77777777" w:rsidR="00F33B58" w:rsidRPr="00086837" w:rsidRDefault="00F33B58" w:rsidP="002E638F">
      <w:pPr>
        <w:widowControl w:val="0"/>
        <w:spacing w:before="60" w:line="276" w:lineRule="auto"/>
        <w:ind w:firstLine="709"/>
        <w:jc w:val="both"/>
        <w:rPr>
          <w:i/>
          <w:lang w:val="vi-VN"/>
        </w:rPr>
      </w:pPr>
      <w:r w:rsidRPr="00086837">
        <w:rPr>
          <w:i/>
          <w:lang w:val="vi-VN"/>
        </w:rPr>
        <w:t>3.1.3. Mục tiêu giải quyết vấn đề</w:t>
      </w:r>
    </w:p>
    <w:p w14:paraId="434DCA9D" w14:textId="77777777" w:rsidR="00775276" w:rsidRDefault="00F33B58" w:rsidP="002E638F">
      <w:pPr>
        <w:spacing w:before="60" w:line="276" w:lineRule="auto"/>
        <w:ind w:firstLine="709"/>
        <w:jc w:val="both"/>
        <w:rPr>
          <w:iCs/>
        </w:rPr>
      </w:pPr>
      <w:r w:rsidRPr="00775276">
        <w:rPr>
          <w:i/>
          <w:lang w:val="vi-VN"/>
        </w:rPr>
        <w:t xml:space="preserve">- </w:t>
      </w:r>
      <w:r w:rsidRPr="00775276">
        <w:rPr>
          <w:lang w:val="vi-VN"/>
        </w:rPr>
        <w:t xml:space="preserve">Mục tiêu tổng quát: </w:t>
      </w:r>
      <w:r w:rsidR="00775276" w:rsidRPr="00775276">
        <w:rPr>
          <w:iCs/>
        </w:rPr>
        <w:t>Hoàn thiện cơ chế tổ chức thực thi và bảo đảm nguồn lực cho công tác phòng, chống phổ biến và tài trợ phổ biến vũ khí hủy diệt hàng loạt theo hướng thống nhất, đồng bộ, ổn định, có tính ràng buộc và khả thi; nâng cao hiệu lực, hiệu quả điều phối liên ngành, kiểm tra, giám sát, chia sẻ thông tin, hợp tác quốc tế và trách nhiệm giải trình; đồng thời bảo đảm các điều kiện về nhân lực, kỹ thuật, tài chính và chế độ, chính sách đặc thù cho lực lượng thực thi, đáp ứng yêu cầu phòng ngừa, phát hiện, ngăn chặn và xử lý kịp thời các nguy cơ phổ biến và tài trợ phổ biến vũ khí hủy diệt hàng loạt trong thực tiễn.</w:t>
      </w:r>
    </w:p>
    <w:p w14:paraId="57CCC512" w14:textId="78612ED0" w:rsidR="00F33B58" w:rsidRPr="00086837" w:rsidRDefault="00F33B58" w:rsidP="002E638F">
      <w:pPr>
        <w:spacing w:before="60" w:line="276" w:lineRule="auto"/>
        <w:ind w:firstLine="709"/>
        <w:jc w:val="both"/>
        <w:rPr>
          <w:lang w:val="vi-VN"/>
        </w:rPr>
      </w:pPr>
      <w:r w:rsidRPr="00775276">
        <w:rPr>
          <w:lang w:val="vi-VN"/>
        </w:rPr>
        <w:t>-</w:t>
      </w:r>
      <w:r w:rsidRPr="00086837">
        <w:rPr>
          <w:lang w:val="vi-VN"/>
        </w:rPr>
        <w:t xml:space="preserve"> Mục tiêu cụ thể:</w:t>
      </w:r>
    </w:p>
    <w:p w14:paraId="437C45AE" w14:textId="77777777" w:rsidR="00775276" w:rsidRPr="00775276" w:rsidRDefault="00775276" w:rsidP="002E638F">
      <w:pPr>
        <w:spacing w:before="60" w:line="276" w:lineRule="auto"/>
        <w:ind w:firstLine="720"/>
        <w:jc w:val="both"/>
        <w:rPr>
          <w:iCs/>
        </w:rPr>
      </w:pPr>
      <w:r w:rsidRPr="00775276">
        <w:rPr>
          <w:iCs/>
        </w:rPr>
        <w:t>(1) Hoàn thiện cơ chế tổ chức, điều phối liên ngành và trách nhiệm giải trình trong phòng, chống phổ biến và tài trợ phổ biến vũ khí hủy diệt hàng loạt, bảo đảm phân công rõ trách nhiệm, đầu mối, thẩm quyền, cơ chế phối hợp và trách nhiệm giải trình giữa các cơ quan, tổ chức có liên quan từ trung ương đến địa phương.</w:t>
      </w:r>
    </w:p>
    <w:p w14:paraId="1189ED45" w14:textId="77777777" w:rsidR="00775276" w:rsidRPr="00775276" w:rsidRDefault="00775276" w:rsidP="002E638F">
      <w:pPr>
        <w:spacing w:before="60" w:line="276" w:lineRule="auto"/>
        <w:ind w:firstLine="720"/>
        <w:jc w:val="both"/>
        <w:rPr>
          <w:iCs/>
          <w:spacing w:val="-2"/>
        </w:rPr>
      </w:pPr>
      <w:r w:rsidRPr="00775276">
        <w:rPr>
          <w:iCs/>
          <w:spacing w:val="-2"/>
        </w:rPr>
        <w:t>(2) Hoàn thiện cơ chế kiểm tra, giám sát, thanh tra và tổ chức thi hành đối với các biện pháp phòng, chống phổ biến và tài trợ phổ biến vũ khí hủy diệt hàng loạt, bao gồm cả việc áp dụng các biện pháp phong tỏa, trì hoãn giao dịch, xử lý tài sản và xử lý vi phạm, bảo đảm thực hiện thống nhất, kịp thời và hiệu quả.</w:t>
      </w:r>
    </w:p>
    <w:p w14:paraId="7360275C" w14:textId="77777777" w:rsidR="00775276" w:rsidRPr="00775276" w:rsidRDefault="00775276" w:rsidP="002E638F">
      <w:pPr>
        <w:spacing w:before="60" w:line="276" w:lineRule="auto"/>
        <w:ind w:firstLine="720"/>
        <w:jc w:val="both"/>
        <w:rPr>
          <w:iCs/>
        </w:rPr>
      </w:pPr>
      <w:r w:rsidRPr="00775276">
        <w:rPr>
          <w:iCs/>
        </w:rPr>
        <w:t>(3) Hoàn thiện cơ chế chia sẻ thông tin, dữ liệu, bảo mật thông tin và đánh giá hiệu quả thực thi, bảo đảm kết nối, phối hợp, cảnh báo sớm, phản ứng kịp thời giữa các cơ quan có liên quan, đồng thời tạo cơ sở theo dõi, kiểm soát chất lượng thực hiện và nâng cao trách nhiệm giải trình.</w:t>
      </w:r>
    </w:p>
    <w:p w14:paraId="4AD2F692" w14:textId="77777777" w:rsidR="00775276" w:rsidRPr="00775276" w:rsidRDefault="00775276" w:rsidP="002E638F">
      <w:pPr>
        <w:spacing w:before="60" w:line="276" w:lineRule="auto"/>
        <w:ind w:firstLine="720"/>
        <w:jc w:val="both"/>
        <w:rPr>
          <w:iCs/>
        </w:rPr>
      </w:pPr>
      <w:r w:rsidRPr="00775276">
        <w:rPr>
          <w:iCs/>
        </w:rPr>
        <w:lastRenderedPageBreak/>
        <w:t>(4) Hoàn thiện cơ chế bảo đảm nguồn lực, năng lực, điều kiện kỹ thuật và chế độ, chính sách đặc thù đối với các cơ quan, lực lượng tham gia phòng, chống phổ biến và tài trợ phổ biến vũ khí hủy diệt hàng loạt, bảo đảm đáp ứng yêu cầu thường trực, chuyên sâu, đặc thù và nguy hiểm của nhiệm vụ.</w:t>
      </w:r>
    </w:p>
    <w:p w14:paraId="1A4A2C83" w14:textId="77777777" w:rsidR="00775276" w:rsidRPr="00775276" w:rsidRDefault="00775276" w:rsidP="002E638F">
      <w:pPr>
        <w:spacing w:before="60" w:line="276" w:lineRule="auto"/>
        <w:ind w:firstLine="720"/>
        <w:jc w:val="both"/>
        <w:rPr>
          <w:iCs/>
        </w:rPr>
      </w:pPr>
      <w:r w:rsidRPr="00775276">
        <w:rPr>
          <w:iCs/>
        </w:rPr>
        <w:t>(5) Hoàn thiện cơ chế hợp tác quốc tế phục vụ tổ chức thực hiện, bảo đảm thống nhất về đầu mối, quy trình phối hợp, chia sẻ thông tin, tiếp nhận và xử lý yêu cầu quốc tế, phù hợp với cam kết quốc tế của Việt Nam và yêu cầu bảo vệ an ninh quốc gia.</w:t>
      </w:r>
    </w:p>
    <w:p w14:paraId="08F25573" w14:textId="77777777" w:rsidR="00F33B58" w:rsidRPr="00086837" w:rsidRDefault="00F33B58" w:rsidP="002E638F">
      <w:pPr>
        <w:spacing w:before="60" w:line="276" w:lineRule="auto"/>
        <w:ind w:firstLine="720"/>
        <w:jc w:val="both"/>
        <w:rPr>
          <w:bCs/>
          <w:spacing w:val="-4"/>
          <w:lang w:val="vi-VN"/>
        </w:rPr>
      </w:pPr>
      <w:r w:rsidRPr="00086837">
        <w:rPr>
          <w:spacing w:val="-4"/>
          <w:lang w:val="vi-VN"/>
        </w:rPr>
        <w:t xml:space="preserve">3.2. </w:t>
      </w:r>
      <w:r w:rsidRPr="00086837">
        <w:rPr>
          <w:bCs/>
          <w:spacing w:val="-4"/>
          <w:lang w:val="vi-VN"/>
        </w:rPr>
        <w:t>Các giải pháp và đánh giá tác động của các giải pháp đối với đối tượng chịu sự tác động trực tiếp của chính sách và các đối tượng khác có liên quan</w:t>
      </w:r>
    </w:p>
    <w:p w14:paraId="53C4BF2B" w14:textId="77777777" w:rsidR="00F33B58" w:rsidRPr="00086837" w:rsidRDefault="00F33B58" w:rsidP="002E638F">
      <w:pPr>
        <w:spacing w:before="60" w:line="276" w:lineRule="auto"/>
        <w:jc w:val="both"/>
        <w:rPr>
          <w:rFonts w:asciiTheme="minorHAnsi" w:hAnsiTheme="minorHAnsi"/>
          <w:i/>
          <w:iCs/>
        </w:rPr>
      </w:pPr>
      <w:r w:rsidRPr="00086837">
        <w:rPr>
          <w:rFonts w:ascii="Times New Roman Italic" w:hAnsi="Times New Roman Italic"/>
          <w:b/>
          <w:bCs/>
          <w:i/>
          <w:lang w:val="vi-VN"/>
        </w:rPr>
        <w:t xml:space="preserve"> </w:t>
      </w:r>
      <w:r w:rsidRPr="00086837">
        <w:rPr>
          <w:rFonts w:ascii="Times New Roman Italic" w:hAnsi="Times New Roman Italic"/>
          <w:b/>
          <w:bCs/>
          <w:i/>
          <w:lang w:val="vi-VN"/>
        </w:rPr>
        <w:tab/>
      </w:r>
      <w:r w:rsidRPr="00086837">
        <w:rPr>
          <w:rFonts w:ascii="Times New Roman Italic" w:hAnsi="Times New Roman Italic"/>
          <w:i/>
          <w:lang w:val="vi-VN"/>
        </w:rPr>
        <w:t xml:space="preserve">3.2.1. Giải pháp 1: </w:t>
      </w:r>
      <w:r w:rsidRPr="00086837">
        <w:rPr>
          <w:rFonts w:ascii="Times New Roman Italic" w:hAnsi="Times New Roman Italic"/>
          <w:i/>
          <w:iCs/>
          <w:lang w:val="vi-VN"/>
        </w:rPr>
        <w:t>Sửa đổi, bổ sung Nghị định số 81/2019/NĐ-CP theo hướng hoàn thiện cơ chế tổ chức thực thi và điều phối liên ngành, quy định rõ trách nhiệm, quy trình phối hợp và cơ chế bảo đảm nguồn lực phục vụ phòng, chống phổ biến và tài trợ phổ biến</w:t>
      </w:r>
      <w:r w:rsidRPr="00086837">
        <w:rPr>
          <w:i/>
          <w:iCs/>
          <w:lang w:val="vi-VN"/>
        </w:rPr>
        <w:t xml:space="preserve"> </w:t>
      </w:r>
      <w:r w:rsidRPr="00086837">
        <w:rPr>
          <w:i/>
          <w:iCs/>
        </w:rPr>
        <w:t>vũ khí hủy diệt hàng loạt</w:t>
      </w:r>
    </w:p>
    <w:p w14:paraId="3DE6BCC6" w14:textId="77777777" w:rsidR="00F33B58" w:rsidRPr="00086837" w:rsidRDefault="00F33B58" w:rsidP="002E638F">
      <w:pPr>
        <w:spacing w:before="60" w:line="276" w:lineRule="auto"/>
        <w:ind w:firstLine="720"/>
        <w:jc w:val="both"/>
        <w:rPr>
          <w:bCs/>
          <w:lang w:val="vi-VN"/>
        </w:rPr>
      </w:pPr>
      <w:r w:rsidRPr="00086837">
        <w:rPr>
          <w:bCs/>
          <w:lang w:val="vi-VN"/>
        </w:rPr>
        <w:t>a) Tác động đối với hệ thống pháp luật</w:t>
      </w:r>
    </w:p>
    <w:p w14:paraId="57E4BDD6" w14:textId="77777777" w:rsidR="00F33B58" w:rsidRPr="00086837" w:rsidRDefault="00F33B58" w:rsidP="002E638F">
      <w:pPr>
        <w:spacing w:before="60" w:line="276" w:lineRule="auto"/>
        <w:ind w:firstLine="720"/>
        <w:jc w:val="both"/>
        <w:rPr>
          <w:bCs/>
          <w:lang w:val="vi-VN"/>
        </w:rPr>
      </w:pPr>
      <w:r w:rsidRPr="00086837">
        <w:rPr>
          <w:bCs/>
          <w:lang w:val="vi-VN"/>
        </w:rPr>
        <w:t>- Tính hợp hiến của chính sách:</w:t>
      </w:r>
    </w:p>
    <w:p w14:paraId="7D53A6A3" w14:textId="77777777" w:rsidR="00F33B58" w:rsidRPr="00086837" w:rsidRDefault="00F33B58" w:rsidP="002E638F">
      <w:pPr>
        <w:spacing w:before="60" w:line="276" w:lineRule="auto"/>
        <w:ind w:firstLine="720"/>
        <w:jc w:val="both"/>
        <w:rPr>
          <w:bCs/>
          <w:lang w:val="vi-VN"/>
        </w:rPr>
      </w:pPr>
      <w:r w:rsidRPr="00086837">
        <w:rPr>
          <w:bCs/>
          <w:lang w:val="vi-VN"/>
        </w:rPr>
        <w:t>Giải pháp sửa đổi, bổ sung nghị định nhằm hoàn thiện cơ chế tổ chức thực thi và điều phối liên ngành trong phòng, chống phổ biến và tài trợ phổ biến</w:t>
      </w:r>
      <w:r w:rsidRPr="00086837">
        <w:rPr>
          <w:bCs/>
        </w:rPr>
        <w:t xml:space="preserve"> </w:t>
      </w:r>
      <w:r w:rsidRPr="00086837">
        <w:rPr>
          <w:bCs/>
          <w:lang w:val="vi-VN"/>
        </w:rPr>
        <w:t>WMD về cơ bản phù hợp với nguyên tắc quản lý nhà nước bằng pháp luật được quy định tại Hiến pháp năm 2013. Việc rà soát, hệ thống hóa và chuẩn hóa các quy trình kỹ thuật như cơ chế phối hợp, chế độ thông tin</w:t>
      </w:r>
      <w:r w:rsidRPr="00086837">
        <w:rPr>
          <w:bCs/>
        </w:rPr>
        <w:t>,</w:t>
      </w:r>
      <w:r w:rsidRPr="00086837">
        <w:rPr>
          <w:bCs/>
          <w:lang w:val="vi-VN"/>
        </w:rPr>
        <w:t xml:space="preserve"> báo cáo, cơ chế trao đổi dữ liệu và giám sát thực thi góp phần tăng cường tính minh bạch, trách nhiệm giải trình của cơ quan nhà nước, phù hợp với yêu cầu về tổ chức thực thi quyền lực nhà nước thống nhất, có phân công, phối hợp và kiểm soát giữa các cơ quan.</w:t>
      </w:r>
      <w:r w:rsidRPr="00086837">
        <w:rPr>
          <w:bCs/>
        </w:rPr>
        <w:t xml:space="preserve"> </w:t>
      </w:r>
      <w:r w:rsidRPr="00086837">
        <w:rPr>
          <w:bCs/>
          <w:lang w:val="vi-VN"/>
        </w:rPr>
        <w:t>Tuy nhiên, trong lĩnh vực phòng, chống tài trợ phổ biến WMD có khả năng tác động trực tiếp đến quyền tài sản, quyền tự do kinh doanh và quyền giao dịch hợp pháp của tổ chức, cá nhân, ví dụ như phong tỏa tài sản, tạm đình chỉ giao dịch, trì hoãn thanh toán hoặc áp dụng biện pháp kiểm soát đặc biệt đối với chủ thể có liên quan đến danh sách trừng phạt. Theo nguyên tắc bảo đảm quyền con người, quyền công dân trong Hiến pháp năm 2013, mọi hạn chế quyền chỉ được đặt ra bằng luật và phải cần thiết vì lý do quốc phòng, an ninh quốc gia, trật tự, an toàn xã hội.</w:t>
      </w:r>
    </w:p>
    <w:p w14:paraId="0D2CAAA3" w14:textId="77777777" w:rsidR="00F33B58" w:rsidRPr="00086837" w:rsidRDefault="00F33B58" w:rsidP="002E638F">
      <w:pPr>
        <w:spacing w:before="60" w:line="276" w:lineRule="auto"/>
        <w:ind w:firstLine="720"/>
        <w:jc w:val="both"/>
        <w:rPr>
          <w:bCs/>
          <w:lang w:val="vi-VN"/>
        </w:rPr>
      </w:pPr>
      <w:r w:rsidRPr="00086837">
        <w:rPr>
          <w:bCs/>
          <w:lang w:val="vi-VN"/>
        </w:rPr>
        <w:t xml:space="preserve">Trong bối cảnh đó, nếu tiếp tục điều chỉnh chủ yếu bằng nghị định, tức là văn bản dưới luật, thì mức độ bảo đảm yêu cầu “hạn chế quyền phải do luật quy định” có thể chưa được đáp ứng đầy đủ đối với các biện pháp có tính chất cưỡng chế hoặc tác động trực tiếp đến quyền tài sản. Điều này làm phát sinh nguy cơ bị xem xét về tính hợp hiến trong trường hợp có khiếu kiện, tranh chấp liên quan </w:t>
      </w:r>
      <w:r w:rsidRPr="00086837">
        <w:rPr>
          <w:bCs/>
          <w:lang w:val="vi-VN"/>
        </w:rPr>
        <w:lastRenderedPageBreak/>
        <w:t>đến áp dụng biện pháp phong tỏa hoặc xử lý vi phạm. Xét về tổng thể, giải pháp sửa đổi nghị định bảo đảm tính hợp hiến đối với các nội dung mang tính tổ chức, kỹ thuật, điều phối hành chính; song đối với các biện pháp có khả năng hạn chế quyền, khuôn khổ pháp lý ở cấp nghị định chưa phải là phương án tối ưu để bảo đảm mức độ an toàn hiến định cao nhất.</w:t>
      </w:r>
    </w:p>
    <w:p w14:paraId="059AE697" w14:textId="77777777" w:rsidR="00F33B58" w:rsidRPr="00086837" w:rsidRDefault="00F33B58" w:rsidP="002E638F">
      <w:pPr>
        <w:spacing w:before="60" w:line="276" w:lineRule="auto"/>
        <w:ind w:firstLine="720"/>
        <w:jc w:val="both"/>
        <w:rPr>
          <w:bCs/>
        </w:rPr>
      </w:pPr>
      <w:r w:rsidRPr="00086837">
        <w:rPr>
          <w:bCs/>
          <w:lang w:val="vi-VN"/>
        </w:rPr>
        <w:t>- Tính hợp pháp, tính thống nhất của chính sách:</w:t>
      </w:r>
    </w:p>
    <w:p w14:paraId="228CEB40" w14:textId="77777777" w:rsidR="00F33B58" w:rsidRPr="00086837" w:rsidRDefault="00F33B58" w:rsidP="002E638F">
      <w:pPr>
        <w:spacing w:before="60" w:line="276" w:lineRule="auto"/>
        <w:ind w:firstLine="720"/>
        <w:jc w:val="both"/>
        <w:rPr>
          <w:bCs/>
        </w:rPr>
      </w:pPr>
      <w:r w:rsidRPr="00086837">
        <w:rPr>
          <w:bCs/>
        </w:rPr>
        <w:t>Giải pháp này được thực hiện trong phạm vi thẩm quyền của Chính phủ về ban hành văn bản quy phạm pháp luật để quy định biện pháp quản lý nhà nước, cơ chế phối hợp và tổ chức thực hiện đối với lĩnh vực phòng, chống phổ biến và tài trợ phổ biến WMD. Trong điều kiện chưa có luật chuyên ngành điều chỉnh thống nhất nội dung này và khuôn khổ hiện hành chủ yếu dựa trên Nghị định, việc sửa đổi theo hướng hệ thống hóa, chuẩn hóa quy trình phối hợp liên ngành, chế độ thông tin, báo cáo, cơ chế trao đổi dữ liệu và xác định rõ đầu mối thực thi có tác dụng tích cực trong việc khắc phục tình trạng quy định phân tán theo từng lĩnh vực quản lý (quốc phòng, an ninh, tài chính, ngân hàng, hải quan, thương mại, hợp tác quốc tế), giảm chồng chéo trong tổ chức thực hiện và tăng tính minh bạch, khả năng dự liệu của quy trình hành chính. Trọng tâm tác động của phương án này nằm ở việc làm rõ cách thức vận hành của cơ chế thực thi, hơn là tạo lập một hệ quy phạm mới ở cấp luật.</w:t>
      </w:r>
    </w:p>
    <w:p w14:paraId="1329B92A" w14:textId="77777777" w:rsidR="00F33B58" w:rsidRPr="00086837" w:rsidRDefault="00F33B58" w:rsidP="002E638F">
      <w:pPr>
        <w:spacing w:before="60" w:line="276" w:lineRule="auto"/>
        <w:ind w:firstLine="720"/>
        <w:jc w:val="both"/>
        <w:rPr>
          <w:bCs/>
        </w:rPr>
      </w:pPr>
      <w:r w:rsidRPr="00086837">
        <w:rPr>
          <w:bCs/>
        </w:rPr>
        <w:t>Tuy nhiên, do lĩnh vực phòng, chống phổ biến và tài trợ phổ biến WMD có phạm vi liên ngành sâu rộng và liên quan đến nhiều quan hệ pháp luật đã được điều chỉnh trong các luật chuyên ngành, việc sửa đổi nghị định cần kiểm soát chặt chẽ ranh giới hợp pháp của quy định dưới luật. Khi thiếu một “trục” luật chuyên ngành làm nền, rủi ro phát sinh chồng chéo hoặc xung đột pháp lý không chỉ xuất hiện dưới dạng “vượt thẩm quyền theo ủy quyền lập pháp”, mà còn thể hiện ở khả năng nghị định đặt ra thêm nghĩa vụ, điều kiện, hạn chế hoặc cơ chế can thiệp đối với tổ chức, cá nhân trong các lĩnh vực đã có luật điều chỉnh (như ngân hàng, quản lý ngoại thương, hải quan, phòng, chống rửa tiền…). Trường hợp nội dung sửa đổi liên quan đến thẩm quyền áp dụng biện pháp cưỡng chế, nghĩa vụ bắt buộc của tổ chức tín dụng, doanh nghiệp xuất nhập khẩu hoặc cơ chế tác động trực tiếp đến quyền tài sản và quyền giao dịch, trong khi các luật hiện hành chưa quy định rõ căn cứ, phạm vi và giới hạn, thì rủi ro về tính hợp pháp và khả năng phát sinh tranh chấp khi áp dụng sẽ tăng lên.</w:t>
      </w:r>
    </w:p>
    <w:p w14:paraId="42B13B9A" w14:textId="77777777" w:rsidR="00F33B58" w:rsidRPr="00086837" w:rsidRDefault="00F33B58" w:rsidP="002E638F">
      <w:pPr>
        <w:spacing w:before="60" w:line="276" w:lineRule="auto"/>
        <w:ind w:firstLine="720"/>
        <w:jc w:val="both"/>
        <w:rPr>
          <w:bCs/>
        </w:rPr>
      </w:pPr>
      <w:r w:rsidRPr="00086837">
        <w:rPr>
          <w:bCs/>
        </w:rPr>
        <w:t xml:space="preserve">Ngoài ra, cơ chế thực thi trong lĩnh vực này phụ thuộc đáng kể vào hệ thống văn bản dưới luật và văn bản hướng dẫn theo ngành. Khi các văn bản chuyên ngành được ban hành hoặc sửa đổi ở các thời điểm khác nhau, nguy cơ thiếu đồng bộ giữa các cấu phần quản lý là hiện hữu, qua đó ảnh hưởng đến tính ổn định và khả năng dự liệu của hệ thống pháp luật. Vì vậy, phương án sửa đổi </w:t>
      </w:r>
      <w:r w:rsidRPr="00086837">
        <w:rPr>
          <w:bCs/>
        </w:rPr>
        <w:lastRenderedPageBreak/>
        <w:t>Nghị định cải thiện rõ rệt tính thống nhất ở cấp độ quy trình, kỹ thuật và điều phối hành chính, nhưng chưa giải quyết dứt điểm yêu cầu đồng bộ hóa ở cấp cấu trúc pháp lý do chưa có luật chuyên ngành làm cơ sở điều chỉnh thống nhất.</w:t>
      </w:r>
    </w:p>
    <w:p w14:paraId="24485764" w14:textId="77777777" w:rsidR="00F33B58" w:rsidRPr="00086837" w:rsidRDefault="00F33B58" w:rsidP="002E638F">
      <w:pPr>
        <w:spacing w:before="60" w:line="276" w:lineRule="auto"/>
        <w:ind w:firstLine="720"/>
        <w:jc w:val="both"/>
        <w:rPr>
          <w:bCs/>
          <w:lang w:val="vi-VN"/>
        </w:rPr>
      </w:pPr>
      <w:r w:rsidRPr="00086837">
        <w:rPr>
          <w:bCs/>
          <w:lang w:val="vi-VN"/>
        </w:rPr>
        <w:t xml:space="preserve">- Tính tương thích của chính sách với các điều ước quốc tế có liên quan mà nước Cộng hòa xã hội chủ nghĩa Việt Nam là thành viên: </w:t>
      </w:r>
    </w:p>
    <w:p w14:paraId="064D6602" w14:textId="77777777" w:rsidR="00F33B58" w:rsidRPr="00086837" w:rsidRDefault="00F33B58" w:rsidP="002E638F">
      <w:pPr>
        <w:spacing w:before="60" w:line="276" w:lineRule="auto"/>
        <w:ind w:firstLine="720"/>
        <w:jc w:val="both"/>
        <w:rPr>
          <w:bCs/>
          <w:lang w:val="vi-VN"/>
        </w:rPr>
      </w:pPr>
      <w:r w:rsidRPr="00086837">
        <w:rPr>
          <w:bCs/>
          <w:lang w:val="vi-VN"/>
        </w:rPr>
        <w:t xml:space="preserve">Về phương diện tính tương thích với các điều ước quốc tế mà Việt Nam là thành viên, đặc biệt là các nghĩa vụ phát sinh từ Nghị quyết 1540 của </w:t>
      </w:r>
      <w:r w:rsidRPr="00086837">
        <w:rPr>
          <w:bCs/>
        </w:rPr>
        <w:t>Hội đồng Bảo an Liên hợp quốc</w:t>
      </w:r>
      <w:r w:rsidRPr="00086837">
        <w:rPr>
          <w:bCs/>
          <w:lang w:val="vi-VN"/>
        </w:rPr>
        <w:t xml:space="preserve">, giải pháp </w:t>
      </w:r>
      <w:r w:rsidRPr="00086837">
        <w:rPr>
          <w:bCs/>
        </w:rPr>
        <w:t xml:space="preserve">này </w:t>
      </w:r>
      <w:r w:rsidRPr="00086837">
        <w:rPr>
          <w:bCs/>
          <w:lang w:val="vi-VN"/>
        </w:rPr>
        <w:t>có ý nghĩa nhất định trong việc củng cố cơ chế kiểm soát quốc gia. Nghị quyết 1540 yêu cầu các quốc gia thiết lập và duy trì cơ chế pháp lý và hành chính hiệu quả nhằm ngăn chặn phổ biến WMD, bao gồm việc ban hành các biện pháp pháp luật, hành chính và thực thi. Việc chuẩn hóa quy trình phối hợp, thiết lập cơ chế trao đổi thông tin và tăng cường giám sát thực thi giúp nâng cao năng lực tổ chức thực hiện và đáp ứng tốt hơn yêu cầu về cơ chế kiểm soát quốc gia hiệu quả.</w:t>
      </w:r>
    </w:p>
    <w:p w14:paraId="624F0390" w14:textId="77777777" w:rsidR="00F33B58" w:rsidRPr="00086837" w:rsidRDefault="00F33B58" w:rsidP="002E638F">
      <w:pPr>
        <w:spacing w:before="60" w:line="276" w:lineRule="auto"/>
        <w:ind w:firstLine="720"/>
        <w:jc w:val="both"/>
        <w:rPr>
          <w:bCs/>
          <w:spacing w:val="-2"/>
          <w:lang w:val="vi-VN"/>
        </w:rPr>
      </w:pPr>
      <w:r w:rsidRPr="00086837">
        <w:rPr>
          <w:bCs/>
          <w:spacing w:val="-2"/>
          <w:lang w:val="vi-VN"/>
        </w:rPr>
        <w:t>Tuy nhiên, trong thực tiễn đánh giá quốc tế, hiệu quả của cơ chế kiểm soát không chỉ được xem xét ở khía cạnh tổ chức thực thi mà còn ở mức độ ràng buộc pháp lý và khả năng áp dụng chế tài. Báo cáo đánh giá đa phương của Financial Action Task Force năm 2022 đối với Việt Nam đã chỉ ra rằng việc thiếu quy định ở cấp luật liên quan đến cơ chế cưỡng chế và xử phạt đối với hành vi tài trợ phổ biến WMD làm giảm tính răn đe và hiệu quả thực thi. Trong bối cảnh đó, nếu chỉ sửa đổi ở cấp nghị định, mức độ tương thích với chuẩn mực quốc tế có thể được cải thiện ở phương diện quy trình và phối hợp, nhưng chưa đạt được sự tương thích đầy đủ ở phương diện chế tài và nền tảng pháp lý bền vững.</w:t>
      </w:r>
    </w:p>
    <w:p w14:paraId="0C4884EE" w14:textId="77777777" w:rsidR="00F33B58" w:rsidRPr="00086837" w:rsidRDefault="00F33B58" w:rsidP="002E638F">
      <w:pPr>
        <w:spacing w:before="60" w:line="276" w:lineRule="auto"/>
        <w:ind w:firstLine="720"/>
        <w:jc w:val="both"/>
        <w:rPr>
          <w:bCs/>
          <w:lang w:val="vi-VN"/>
        </w:rPr>
      </w:pPr>
      <w:r w:rsidRPr="00086837">
        <w:rPr>
          <w:bCs/>
          <w:lang w:val="vi-VN"/>
        </w:rPr>
        <w:t>b) Tác động kinh tế - xã hội</w:t>
      </w:r>
    </w:p>
    <w:p w14:paraId="55205B3A" w14:textId="77777777" w:rsidR="00F33B58" w:rsidRPr="00086837" w:rsidRDefault="00F33B58" w:rsidP="002E638F">
      <w:pPr>
        <w:spacing w:before="60" w:line="276" w:lineRule="auto"/>
        <w:ind w:firstLine="720"/>
        <w:jc w:val="both"/>
        <w:rPr>
          <w:bCs/>
          <w:lang w:val="vi-VN"/>
        </w:rPr>
      </w:pPr>
      <w:r w:rsidRPr="00086837">
        <w:rPr>
          <w:bCs/>
          <w:lang w:val="vi-VN"/>
        </w:rPr>
        <w:t>- Đối với sản xuất, kinh doanh:</w:t>
      </w:r>
    </w:p>
    <w:p w14:paraId="5558A5D2" w14:textId="77777777" w:rsidR="00F33B58" w:rsidRPr="00086837" w:rsidRDefault="00F33B58" w:rsidP="002E638F">
      <w:pPr>
        <w:spacing w:before="60" w:line="276" w:lineRule="auto"/>
        <w:ind w:firstLine="720"/>
        <w:jc w:val="both"/>
        <w:rPr>
          <w:bCs/>
        </w:rPr>
      </w:pPr>
      <w:r w:rsidRPr="00086837">
        <w:rPr>
          <w:bCs/>
          <w:lang w:val="vi-VN"/>
        </w:rPr>
        <w:t xml:space="preserve">Giải pháp </w:t>
      </w:r>
      <w:r w:rsidRPr="00086837">
        <w:rPr>
          <w:bCs/>
        </w:rPr>
        <w:t>này góp phần tạo môi trường quản trị và tuân thủ rõ ràng hơn cho hoạt động sản xuất, kinh doanh, nhất là trong các lĩnh vực có yếu tố lưỡng dụng và mức độ rủi ro cao như hóa chất, công nghệ cao, điện tử, cơ khí chính xác và logistics quốc tế. Tác động tích cực xuất phát từ việc chuẩn hóa đầu mối điều phối, phân công trách nhiệm, luồng trao đổi thông tin, chế độ báo cáo và quy trình phối hợp xử lý giữa các cơ quan quản lý, qua đó giảm tình trạng mỗi cơ quan vận hành theo một quy trình riêng đối với cùng một loại hàng hóa hoặc giao dịch, giảm chi phí hành chính phát sinh do doanh nghiệp phải giải trình nhiều vòng, đồng thời tăng tính dự liệu trong kế hoạch sản xuất, giao nhận, thanh toán của doanh nghiệp.</w:t>
      </w:r>
    </w:p>
    <w:p w14:paraId="44DE5CC1" w14:textId="77777777" w:rsidR="00F33B58" w:rsidRPr="00086837" w:rsidRDefault="00F33B58" w:rsidP="002E638F">
      <w:pPr>
        <w:spacing w:before="60" w:line="276" w:lineRule="auto"/>
        <w:ind w:firstLine="720"/>
        <w:jc w:val="both"/>
        <w:rPr>
          <w:bCs/>
        </w:rPr>
      </w:pPr>
      <w:r w:rsidRPr="00086837">
        <w:rPr>
          <w:bCs/>
        </w:rPr>
        <w:t xml:space="preserve">Tác động này có ý nghĩa kinh tế rõ rệt trong bối cảnh quy mô thương mại của Việt Nam. Theo thông tin tổng hợp từ Tổng cục Thống kê được Bộ Kế </w:t>
      </w:r>
      <w:r w:rsidRPr="00086837">
        <w:rPr>
          <w:bCs/>
        </w:rPr>
        <w:lastRenderedPageBreak/>
        <w:t>hoạch và Đầu tư đăng tải, tổng kim ngạch xuất, nhập khẩu hàng hóa năm 2023 ước đạt 683 tỷ USD. Quy mô giao dịch lớn đồng nghĩa với việc chỉ cần một tỷ lệ nhỏ lô hàng, giao dịch phát sinh chậm trễ do phối hợp thiếu thống nhất cũng làm tăng đáng kể chi phí giao dịch và chi phí cơ hội của doanh nghiệp (chi phí vốn lưu động, chi phí lưu kho, lưu bãi, chậm giao hàng và nguy cơ vi phạm thời hạn hợp đồng). Giải pháp 1 tạo lợi ích gián tiếp thông qua rút ngắn thời gian xử lý liên ngành và giảm yêu cầu thông tin lặp lại.</w:t>
      </w:r>
    </w:p>
    <w:p w14:paraId="21992E6F" w14:textId="77777777" w:rsidR="00F33B58" w:rsidRPr="00086837" w:rsidRDefault="00F33B58" w:rsidP="002E638F">
      <w:pPr>
        <w:spacing w:before="60" w:line="276" w:lineRule="auto"/>
        <w:ind w:firstLine="720"/>
        <w:jc w:val="both"/>
        <w:rPr>
          <w:bCs/>
        </w:rPr>
      </w:pPr>
      <w:r w:rsidRPr="00086837">
        <w:rPr>
          <w:bCs/>
        </w:rPr>
        <w:t>Đối với nhóm ngành công nghệ cao và điện tử, lĩnh vực gắn với chuỗi cung ứng toàn cầu và chịu yêu cầu tuân thủ ngày càng chặt, lợi ích của việc giảm “độ bất định” quy trình càng rõ; một số nguồn phân tích thị trường cũng ghi nhận giá trị xuất khẩu nhóm điện tử và máy tính năm 2023 ở mức khoảng 57,3 tỷ USD</w:t>
      </w:r>
      <w:r w:rsidRPr="00086837">
        <w:rPr>
          <w:rStyle w:val="FootnoteReference"/>
          <w:bCs/>
        </w:rPr>
        <w:footnoteReference w:id="89"/>
      </w:r>
      <w:r w:rsidRPr="00086837">
        <w:rPr>
          <w:bCs/>
        </w:rPr>
        <w:t>, phản ánh quy mô lớn của nhóm hàng nhạy cảm về công nghệ và chuỗi cung ứng. Khi cơ chế phối hợp kiểm soát được chuẩn hóa theo hướng có đầu mối điều phối rõ, thời hạn phản hồi rõ và chuẩn dữ liệu thống nhất, doanh nghiệp trong các chuỗi này giảm rủi ro gián đoạn do thiếu thống nhất trong xác minh thông tin, đồng thời tăng khả năng dự liệu yêu cầu tuân thủ để chủ động thiết kế kiểm soát nội bộ (sàng lọc đối tác, quản trị chứng từ, truy xuất lô hàng, lưu trữ dữ liệu phục vụ hậu kiểm).</w:t>
      </w:r>
    </w:p>
    <w:p w14:paraId="0C971565" w14:textId="77777777" w:rsidR="00F33B58" w:rsidRPr="00086837" w:rsidRDefault="00F33B58" w:rsidP="002E638F">
      <w:pPr>
        <w:spacing w:before="60" w:line="276" w:lineRule="auto"/>
        <w:ind w:firstLine="720"/>
        <w:jc w:val="both"/>
        <w:rPr>
          <w:bCs/>
        </w:rPr>
      </w:pPr>
      <w:r w:rsidRPr="00086837">
        <w:rPr>
          <w:bCs/>
        </w:rPr>
        <w:t>Tác động tích cực cũng thể hiện qua kênh logistics và năng lực cạnh tranh chi phí. Báo cáo Logistics Việt Nam 2024 nêu chi phí logistics trong thương mại điện tử ở mức 20-25% giá bán, cao hơn mức 15-20% của một số nước trong khu vực, cho thấy dư địa cải thiện chi phí thông qua tối ưu quy trình, phối hợp và dòng thông tin là đáng kể</w:t>
      </w:r>
      <w:r w:rsidRPr="00086837">
        <w:rPr>
          <w:rStyle w:val="FootnoteReference"/>
          <w:bCs/>
        </w:rPr>
        <w:footnoteReference w:id="90"/>
      </w:r>
      <w:r w:rsidRPr="00086837">
        <w:rPr>
          <w:bCs/>
        </w:rPr>
        <w:t>. Việc chuẩn hóa phối hợp và thông tin giữa các cơ quan quản lý góp phần giảm thời gian chờ và giảm chi phí phát sinh ngoài kế hoạch trong vận hành chuỗi cung ứng; hiệu quả này cộng hưởng với xu hướng số hóa và tối ưu hóa vận tải, khai báo, từ đó hỗ trợ giảm chi phí vận hành và tăng năng lực cạnh tranh của doanh nghiệp xuất nhập khẩu.</w:t>
      </w:r>
    </w:p>
    <w:p w14:paraId="1B1C7898" w14:textId="77777777" w:rsidR="00F33B58" w:rsidRPr="00086837" w:rsidRDefault="00F33B58" w:rsidP="002E638F">
      <w:pPr>
        <w:spacing w:before="60" w:line="276" w:lineRule="auto"/>
        <w:ind w:firstLine="720"/>
        <w:jc w:val="both"/>
        <w:rPr>
          <w:bCs/>
        </w:rPr>
      </w:pPr>
      <w:r w:rsidRPr="00086837">
        <w:rPr>
          <w:bCs/>
        </w:rPr>
        <w:t xml:space="preserve">Bên cạnh những tác động tích cực, giải pháp này làm phát sinh chi phí chuyển đổi ngắn hạn tập trung vào doanh nghiệp, đặc biệt ở nhóm nhỏ và vừa: cập nhật quy trình tuân thủ, nâng cấp hệ thống kiểm soát nội bộ, tổ chức đào tạo nhân sự phụ trách tuân thủ và phối hợp dữ liệu, nhất là khi hoạt động liên quan hàng hóa nhạy cảm hoặc giao dịch xuyên biên giới. Bên cạnh đó, do điều chỉnh ở cấp nghị định, hiệu lực “thống nhất pháp lý” đạt được chủ yếu ở khâu quy trình, phối hợp và tổ chức thực thi, trong khi các vấn đề giao thoa với luật </w:t>
      </w:r>
      <w:r w:rsidRPr="00086837">
        <w:rPr>
          <w:bCs/>
        </w:rPr>
        <w:lastRenderedPageBreak/>
        <w:t>chuyên ngành vẫn phụ thuộc mức độ rà soát đồng bộ khi sửa đổi; hiệu quả giảm chi phí và giảm chậm trễ phụ thuộc mạnh vào nguồn lực được bố trí (nhân sự đầu mối, hạ tầng dữ liệu, đào tạo, kinh phí vận hành), nếu cơ chế bảo đảm nguồn lực chưa đủ cụ thể thì nguy cơ thực thi không đồng đều giữa các ngành, địa phương vẫn hiện hữu; trong trường hợp nghị định được sửa đổi, bổ sung, chi phí tuân thủ của doanh nghiệp, đặc biệt doanh nghiệp vừa và nhỏ tăng lên do phải điều chỉnh lặp lại quy trình nội bộ và hệ thống dữ liệu.</w:t>
      </w:r>
    </w:p>
    <w:p w14:paraId="2E4B1BD6" w14:textId="77777777" w:rsidR="00F33B58" w:rsidRPr="00086837" w:rsidRDefault="00F33B58" w:rsidP="002E638F">
      <w:pPr>
        <w:spacing w:before="60" w:line="276" w:lineRule="auto"/>
        <w:ind w:firstLine="720"/>
        <w:jc w:val="both"/>
        <w:rPr>
          <w:bCs/>
          <w:lang w:val="vi-VN"/>
        </w:rPr>
      </w:pPr>
      <w:r w:rsidRPr="00086837">
        <w:rPr>
          <w:bCs/>
          <w:lang w:val="vi-VN"/>
        </w:rPr>
        <w:t>- Đối với việc làm:</w:t>
      </w:r>
    </w:p>
    <w:p w14:paraId="1277B890" w14:textId="77777777" w:rsidR="00F33B58" w:rsidRPr="00086837" w:rsidRDefault="00F33B58" w:rsidP="002E638F">
      <w:pPr>
        <w:spacing w:before="60" w:line="276" w:lineRule="auto"/>
        <w:ind w:firstLine="720"/>
        <w:jc w:val="both"/>
        <w:rPr>
          <w:bCs/>
        </w:rPr>
      </w:pPr>
      <w:r w:rsidRPr="00086837">
        <w:rPr>
          <w:bCs/>
        </w:rPr>
        <w:t>Giải pháp này có tác động đến việc làm chủ yếu theo hướng gián tiếp, thông qua việc làm thay đổi cơ cấu nhu cầu nhân lực và chuẩn năng lực trong các cơ quan thực thi và doanh nghiệp. Trong ngắn hạn, khi nghị định được sửa đổi theo hướng chuẩn hóa đầu mối điều phối, chế độ thông tin, báo cáo và quy trình phối hợp, nhu cầu bố trí nhân sự chuyên trách về tuân thủ, kiểm soát nội bộ, quản trị rủi ro và quản trị dữ liệu tăng lên để vận hành cơ chế phối hợp và đáp ứng yêu cầu báo cáo, giám sát theo quy trình thống nhất. Nhu cầu nâng kỹ năng phục vụ các vị trí này rất lớn; số liệu thị trường lao động cho thấy tỷ lệ lao động qua đào tạo có bằng, chứng chỉ tiếp tục tăng (quý I/2025 đạt 28,8%) và lực lượng lao động từ 15 tuổi trở lên ở quy mô lớn (quý I/2025 là 52,9 triệu người)</w:t>
      </w:r>
      <w:r w:rsidRPr="00086837">
        <w:rPr>
          <w:rStyle w:val="FootnoteReference"/>
          <w:bCs/>
        </w:rPr>
        <w:footnoteReference w:id="91"/>
      </w:r>
      <w:r w:rsidRPr="00086837">
        <w:rPr>
          <w:bCs/>
        </w:rPr>
        <w:t xml:space="preserve">, tạo nền để mở rộng đào tạo kỹ năng tuân thủ và kỹ năng quản trị theo vị trí việc làm. </w:t>
      </w:r>
    </w:p>
    <w:p w14:paraId="15F01B4C" w14:textId="77777777" w:rsidR="00F33B58" w:rsidRPr="00086837" w:rsidRDefault="00F33B58" w:rsidP="002E638F">
      <w:pPr>
        <w:spacing w:before="60" w:line="276" w:lineRule="auto"/>
        <w:ind w:firstLine="720"/>
        <w:jc w:val="both"/>
        <w:rPr>
          <w:bCs/>
        </w:rPr>
      </w:pPr>
      <w:r w:rsidRPr="00086837">
        <w:rPr>
          <w:bCs/>
        </w:rPr>
        <w:t>Về dài hạn, khi cơ chế điều phối liên ngành vận hành ổn định và nguồn lực thực thi (nhân sự chuyên trách, hạ tầng dữ liệu, kinh phí đào tạo và vận hành) được bảo đảm, tính nhất quán trong tuân thủ và phối hợp giúp giảm rủi ro gián đoạn giao dịch và chuỗi cung ứng, qua đó hỗ trợ duy trì hoạt động sản xuất, xuất khẩu và ổn định việc làm ở các ngành liên quan. Tác động này gắn với quy mô thương mại lớn của nền kinh tế; theo số liệu thống kê của Bộ Kế hoạch và Đầu tư công bố, tổng kim ngạch xuất, nhập khẩu hàng hóa năm 2024 đạt 786,29 tỷ USD</w:t>
      </w:r>
      <w:r w:rsidRPr="00086837">
        <w:rPr>
          <w:rStyle w:val="FootnoteReference"/>
          <w:bCs/>
        </w:rPr>
        <w:footnoteReference w:id="92"/>
      </w:r>
      <w:r w:rsidRPr="00086837">
        <w:rPr>
          <w:bCs/>
        </w:rPr>
        <w:t xml:space="preserve">. Đồng thời, quy mô việc làm lớn (lao động có việc làm năm 2024 là 51,9 triệu người) cho thấy bất kỳ biến động nào về độ thông suốt của cơ chế phối hợp và chi phí tuân thủ cũng có thể lan tỏa rộng tới thị trường lao động. </w:t>
      </w:r>
    </w:p>
    <w:p w14:paraId="3753E1D1" w14:textId="77777777" w:rsidR="00F33B58" w:rsidRPr="00086837" w:rsidRDefault="00F33B58" w:rsidP="002E638F">
      <w:pPr>
        <w:spacing w:before="60" w:line="276" w:lineRule="auto"/>
        <w:ind w:firstLine="720"/>
        <w:jc w:val="both"/>
      </w:pPr>
      <w:r w:rsidRPr="00086837">
        <w:t xml:space="preserve">Bên cạnh những mặt tích cực, giải pháp này có hạn chế do đây là phương án tập trung vào tổ chức thực thi và điều phối bằng nghị định, nên hiệu ứng tích cực đối với việc làm phụ thuộc trực tiếp vào mức độ “vận hành thực chất” của các cấu phần được sửa đổi (đầu mối điều phối, quy trình phối hợp, chuẩn thông tin, báo cáo, cơ chế bảo đảm nguồn lực). Trường hợp nguồn lực không được bố </w:t>
      </w:r>
      <w:r w:rsidRPr="00086837">
        <w:lastRenderedPageBreak/>
        <w:t>trí đầy đủ hoặc triển khai không đồng đều giữa các ngành, địa phương, quy trình phối hợp có thể phát sinh thêm khâu thủ tục và chi phí tuân thủ, làm suy giảm tác động ổn định việc làm, đặc biệt đối với nhóm doanh nghiệp có năng lực tuân thủ hạn chế.</w:t>
      </w:r>
    </w:p>
    <w:p w14:paraId="280AD30A" w14:textId="77777777" w:rsidR="00F33B58" w:rsidRPr="00086837" w:rsidRDefault="00F33B58" w:rsidP="002E638F">
      <w:pPr>
        <w:spacing w:before="60" w:line="276" w:lineRule="auto"/>
        <w:ind w:firstLine="720"/>
        <w:jc w:val="both"/>
        <w:rPr>
          <w:bCs/>
          <w:lang w:val="vi-VN"/>
        </w:rPr>
      </w:pPr>
      <w:r w:rsidRPr="00086837">
        <w:rPr>
          <w:bCs/>
          <w:lang w:val="vi-VN"/>
        </w:rPr>
        <w:t>- Đối với dân tộc, tôn giáo:</w:t>
      </w:r>
    </w:p>
    <w:p w14:paraId="424EDE61" w14:textId="77777777" w:rsidR="00F33B58" w:rsidRPr="00086837" w:rsidRDefault="00F33B58" w:rsidP="002E638F">
      <w:pPr>
        <w:spacing w:before="60" w:line="276" w:lineRule="auto"/>
        <w:ind w:firstLine="720"/>
        <w:jc w:val="both"/>
        <w:rPr>
          <w:bCs/>
        </w:rPr>
      </w:pPr>
      <w:r w:rsidRPr="00086837">
        <w:rPr>
          <w:bCs/>
        </w:rPr>
        <w:t>Giải pháp này không điều chỉnh trực tiếp quyền và hoạt động tín ngưỡng, tôn giáo; tác động được đánh giá là trung tính, đồng thời có tác động tích cực gián tiếp thông qua việc tăng hiệu lực phối hợp quản lý nhà nước, góp phần củng cố ổn định xã hội và an toàn cộng đồng. Bối cảnh cho thấy phạm vi liên quan đến cộng đồng dân cư rộng và đa dạng: tính đến hết tháng 12/2024, cả nước có hơn 95% dân số theo tín ngưỡng, tôn giáo; 43 tổ chức thuộc 16 tôn giáo được Nhà nước công nhận và cấp giấy chứng nhận đăng ký hoạt động tôn giáo; gần 28 triệu tín đồ (gần 28% dân số), trên 54.500 chức sắc, gần 145.000 chức việc và gần 30.000 cơ sở thờ tự</w:t>
      </w:r>
      <w:r w:rsidRPr="00086837">
        <w:rPr>
          <w:rStyle w:val="FootnoteReference"/>
          <w:bCs/>
        </w:rPr>
        <w:footnoteReference w:id="93"/>
      </w:r>
      <w:r w:rsidRPr="00086837">
        <w:rPr>
          <w:bCs/>
        </w:rPr>
        <w:t>. Trong điều kiện đó, yêu cầu khi thiết kế cơ chế điều phối, chế độ thông tin, báo cáo và chia sẻ dữ liệu là bảo đảm nguyên tắc áp dụng thống nhất, minh bạch, tránh phát sinh cách hiểu và cách thực hiện khác nhau ở cơ sở có thể tác động không mong muốn đến hoạt động tôn giáo hợp pháp. Đồng thời, việc triển khai thử nghiệm Hệ thống thông tin Cơ sở dữ liệu tôn giáo vào ngày 31/12/2025 trong khuôn khổ nhiệm vụ xây dựng cơ sở dữ liệu giai đoạn 2025-2026 là điều kiện thuận lợi để chuẩn hóa dữ liệu và tăng khả năng phối hợp liên ngành theo quy trình thống nhất</w:t>
      </w:r>
      <w:r w:rsidRPr="00086837">
        <w:rPr>
          <w:rStyle w:val="FootnoteReference"/>
          <w:bCs/>
        </w:rPr>
        <w:footnoteReference w:id="94"/>
      </w:r>
      <w:r w:rsidRPr="00086837">
        <w:rPr>
          <w:bCs/>
        </w:rPr>
        <w:t xml:space="preserve">. </w:t>
      </w:r>
    </w:p>
    <w:p w14:paraId="66B60E78" w14:textId="77777777" w:rsidR="00F33B58" w:rsidRPr="00086837" w:rsidRDefault="00F33B58" w:rsidP="002E638F">
      <w:pPr>
        <w:spacing w:before="60" w:line="276" w:lineRule="auto"/>
        <w:ind w:firstLine="720"/>
        <w:jc w:val="both"/>
        <w:rPr>
          <w:bCs/>
        </w:rPr>
      </w:pPr>
      <w:r w:rsidRPr="00086837">
        <w:rPr>
          <w:bCs/>
        </w:rPr>
        <w:t>Tuy nhiên, đây là phương án “tăng cường tổ chức thực thi và điều phối bằng nghị định”, nên tác động gián tiếp tích cực phụ thuộc trực tiếp vào mức độ triển khai đồng bộ các cấu phần được sửa đổi (đầu mối điều phối, quy trình phối hợp, chuẩn thông tin, báo cáo và cơ chế bảo đảm nguồn lực). Trường hợp nguồn lực không được bố trí tương xứng hoặc triển khai không đồng đều giữa các ngành, địa bàn, nguy cơ phát sinh vướng mắc thủ tục và cách áp dụng khác nhau, làm giảm hiệu quả ổn định xã hội mà giải pháp hướng tới.</w:t>
      </w:r>
    </w:p>
    <w:p w14:paraId="71560CA0" w14:textId="77777777" w:rsidR="00F33B58" w:rsidRPr="00086837" w:rsidRDefault="00F33B58" w:rsidP="002E638F">
      <w:pPr>
        <w:spacing w:before="60" w:line="276" w:lineRule="auto"/>
        <w:ind w:firstLine="720"/>
        <w:jc w:val="both"/>
        <w:rPr>
          <w:bCs/>
          <w:lang w:val="vi-VN"/>
        </w:rPr>
      </w:pPr>
      <w:r w:rsidRPr="00086837">
        <w:rPr>
          <w:bCs/>
          <w:lang w:val="vi-VN"/>
        </w:rPr>
        <w:t>- Đối với văn hóa, giáo dục:</w:t>
      </w:r>
    </w:p>
    <w:p w14:paraId="0D2F39B5" w14:textId="77777777" w:rsidR="00F33B58" w:rsidRPr="00086837" w:rsidRDefault="00F33B58" w:rsidP="002E638F">
      <w:pPr>
        <w:spacing w:before="60" w:line="276" w:lineRule="auto"/>
        <w:ind w:firstLine="720"/>
        <w:jc w:val="both"/>
        <w:rPr>
          <w:bCs/>
        </w:rPr>
      </w:pPr>
      <w:r w:rsidRPr="00086837">
        <w:rPr>
          <w:bCs/>
        </w:rPr>
        <w:t xml:space="preserve">Giải pháp này, tác động đến văn hóa, giáo dục chủ yếu theo hướng gián tiếp, thông qua việc hình thành và củng cố nhận thức tuân thủ và năng lực chuyên môn phục vụ tổ chức thực thi. Ở phương diện giáo dục, khi cơ chế phối hợp liên ngành, chế độ thông tin, báo cáo và chuẩn dữ liệu được chuẩn hóa, nhu </w:t>
      </w:r>
      <w:r w:rsidRPr="00086837">
        <w:rPr>
          <w:bCs/>
        </w:rPr>
        <w:lastRenderedPageBreak/>
        <w:t xml:space="preserve">cầu nhân lực có năng lực về tuân thủ, quản trị rủi ro, kiểm soát chuỗi cung ứng và quản trị dữ liệu tăng lên; đây là cơ sở để các cơ sở giáo dục đại học và cơ sở đào tạo điều chỉnh nội dung giảng dạy, lồng ghép kiến thức liên quan tuân thủ pháp luật, quản trị rủi ro và trách nhiệm nghề nghiệp trong các ngành luật, quan hệ quốc tế, kỹ thuật, công nghệ, hóa học và logistics. Định hướng gắn đào tạo với yêu cầu thực tiễn, phục vụ phát triển nguồn nhân lực phù hợp với mục tiêu và yêu cầu của Luật Giáo dục 2019. </w:t>
      </w:r>
    </w:p>
    <w:p w14:paraId="67C597AA" w14:textId="77777777" w:rsidR="00F33B58" w:rsidRPr="00086837" w:rsidRDefault="00F33B58" w:rsidP="002E638F">
      <w:pPr>
        <w:spacing w:before="60" w:line="276" w:lineRule="auto"/>
        <w:ind w:firstLine="720"/>
        <w:jc w:val="both"/>
        <w:rPr>
          <w:bCs/>
          <w:spacing w:val="-2"/>
        </w:rPr>
      </w:pPr>
      <w:r w:rsidRPr="00086837">
        <w:rPr>
          <w:bCs/>
          <w:spacing w:val="-2"/>
        </w:rPr>
        <w:t>Về văn hóa, giải pháp góp phần củng cố văn hóa tuân thủ pháp luật và trách nhiệm xã hội của doanh nghiệp thông qua việc doanh nghiệp và cơ quan quản lý vận hành theo quy trình phối hợp, báo cáo và kiểm soát rủi ro thống nhất; từ đó nâng chuẩn mực ứng xử trong môi trường kinh doanh hội nhập và tăng độ tin cậy của hoạt động quản trị nội bộ. Cách tiếp cận này tương thích với khuyến nghị quốc tế về tăng cường liêm chính và tuân thủ trong khu vực doanh nghiệp.</w:t>
      </w:r>
    </w:p>
    <w:p w14:paraId="22583677" w14:textId="77777777" w:rsidR="00F33B58" w:rsidRPr="00086837" w:rsidRDefault="00F33B58" w:rsidP="002E638F">
      <w:pPr>
        <w:spacing w:before="60" w:line="276" w:lineRule="auto"/>
        <w:ind w:firstLine="720"/>
        <w:jc w:val="both"/>
        <w:rPr>
          <w:bCs/>
        </w:rPr>
      </w:pPr>
      <w:r w:rsidRPr="00086837">
        <w:rPr>
          <w:bCs/>
        </w:rPr>
        <w:t>Về hạn chế, do đây là phương án tập trung vào tổ chức thực thi và điều phối bằng nghị định, nên tác động đối với văn hóa, giáo dục phụ thuộc trực tiếp vào mức độ cụ thể hóa và vận hành thực chất của các cấu phần: (1) chuẩn năng lực, khung yêu cầu đối với vị trí việc làm liên quan tuân thủ và điều phối; (2) kế hoạch và kinh phí đào tạo, bồi dưỡng thường xuyên; (3) hạ tầng dữ liệu và quy trình chia sẻ thông tin thống nhất. Trường hợp các yếu tố bảo đảm nguồn lực triển khai không đồng đều giữa ngành, địa phương, hoạt động đào tạo dễ mang tính phong trào, thiếu chuẩn hóa đầu ra, thiếu liên tục; khi đó tác động tích cực về nâng chất lượng nguồn nhân lực và hình thành văn hóa tuân thủ sẽ bị hạn chế.</w:t>
      </w:r>
    </w:p>
    <w:p w14:paraId="2D2E47AD" w14:textId="77777777" w:rsidR="00F33B58" w:rsidRPr="00086837" w:rsidRDefault="00F33B58" w:rsidP="002E638F">
      <w:pPr>
        <w:spacing w:before="60" w:line="276" w:lineRule="auto"/>
        <w:ind w:firstLine="720"/>
        <w:jc w:val="both"/>
        <w:rPr>
          <w:bCs/>
          <w:lang w:val="vi-VN"/>
        </w:rPr>
      </w:pPr>
      <w:r w:rsidRPr="00086837">
        <w:rPr>
          <w:bCs/>
          <w:lang w:val="vi-VN"/>
        </w:rPr>
        <w:t>- Đối với y tế</w:t>
      </w:r>
    </w:p>
    <w:p w14:paraId="63808685" w14:textId="77777777" w:rsidR="00F33B58" w:rsidRPr="00086837" w:rsidRDefault="00F33B58" w:rsidP="002E638F">
      <w:pPr>
        <w:spacing w:before="60" w:line="276" w:lineRule="auto"/>
        <w:ind w:firstLine="720"/>
        <w:jc w:val="both"/>
        <w:rPr>
          <w:bCs/>
        </w:rPr>
      </w:pPr>
      <w:r w:rsidRPr="00086837">
        <w:rPr>
          <w:bCs/>
        </w:rPr>
        <w:t>Giải pháp này không điều chỉnh trực tiếp hoạt động khám chữa bệnh, nhưng tác động gián tiếp đối với y tế thông qua việc nâng hiệu quả kiểm soát rủi ro liên quan vật liệu, hóa chất và công nghệ nguy hiểm có khả năng bị lạm dụng, từ đó góp phần bảo vệ sức khỏe cộng đồng. Rủi ro do hóa chất là rủi ro có tính phổ biến và quy mô lớn trong thực tiễn lao động, theo thống kê của ILO cho biết mỗi năm có hơn 2 triệu lao động trên toàn cầu bị ảnh hưởng bởi tai nạn và bệnh nghề nghiệp do tiếp xúc hóa chất độc hại, qua đó cho thấy nhu cầu kiểm soát, phòng ngừa và giảm thiểu phơi nhiễm là yêu cầu khách quan</w:t>
      </w:r>
      <w:r w:rsidRPr="00086837">
        <w:rPr>
          <w:rStyle w:val="FootnoteReference"/>
          <w:bCs/>
        </w:rPr>
        <w:footnoteReference w:id="95"/>
      </w:r>
      <w:r w:rsidRPr="00086837">
        <w:rPr>
          <w:bCs/>
        </w:rPr>
        <w:t>. Khi cơ chế điều phối liên ngành, chế độ thông tin, báo cáo và quy trình phối hợp được chuẩn hóa, năng lực cảnh báo sớm, chia sẻ thông tin, xử lý liên ngành đối với sự cố, hành vi có yếu tố nguy hại được tăng cường, qua đó hạn chế nguy cơ lan rộng và giảm áp lực ứng phó lên hệ thống y tế.</w:t>
      </w:r>
    </w:p>
    <w:p w14:paraId="54B591E1" w14:textId="77777777" w:rsidR="00F33B58" w:rsidRPr="00086837" w:rsidRDefault="00F33B58" w:rsidP="002E638F">
      <w:pPr>
        <w:spacing w:before="60" w:line="276" w:lineRule="auto"/>
        <w:ind w:firstLine="720"/>
        <w:jc w:val="both"/>
        <w:rPr>
          <w:bCs/>
        </w:rPr>
      </w:pPr>
      <w:r w:rsidRPr="00086837">
        <w:rPr>
          <w:bCs/>
        </w:rPr>
        <w:lastRenderedPageBreak/>
        <w:t>Cơ sở tham chiếu cho yêu cầu phối hợp và xử lý sự cố đã được đặt trong khuôn khổ an toàn sinh học: Nghị định 103/2016/NĐ-CP quy định cả nội dung phòng ngừa, xử lý và khắc phục sự cố an toàn sinh học tại phòng xét nghiệm; vì vậy, hoàn thiện cơ chế điều phối liên ngành theo Nghị định 81/2019/NĐ-CP sửa đổi hỗ trợ tăng tính liên thông khi xử lý tình huống có liên quan nhiều cơ quan (y tế, an ninh, hải quan, môi trường…). Đồng thời, WHO nhấn mạnh vai trò của y tế công cộng trong phòng ngừa, chuẩn bị sẵn sàng, phát hiện, cảnh báo và ứng phó sự cố hóa chất, và coi đây là một cấu phần năng lực cần tăng cường, đặc biệt ở các nước đang phát triển.</w:t>
      </w:r>
    </w:p>
    <w:p w14:paraId="54AA3E5A" w14:textId="77777777" w:rsidR="00F33B58" w:rsidRPr="00086837" w:rsidRDefault="00F33B58" w:rsidP="002E638F">
      <w:pPr>
        <w:spacing w:before="60" w:line="276" w:lineRule="auto"/>
        <w:ind w:firstLine="720"/>
        <w:jc w:val="both"/>
        <w:rPr>
          <w:bCs/>
        </w:rPr>
      </w:pPr>
      <w:r w:rsidRPr="00086837">
        <w:rPr>
          <w:bCs/>
        </w:rPr>
        <w:t>Tuy nhiên, giải pháp được thiết kế theo hướng sửa đổi nghị định để hoàn thiện cơ chế tổ chức thực thi và điều phối liên ngành, nên phạm vi tác động chủ yếu dừng ở quy trình, phân công trách nhiệm, cơ chế phối hợp và bảo đảm nguồn lực ở mức hành chính - kỹ thuật. Vì vậy, hiệu quả bảo vệ y tế chỉ phát huy khi các cấu phần “điều phối, phối hợp, nguồn lực” vận hành thực chất; nếu cơ chế điều phối không đủ thẩm quyền điều hành liên ngành trong thực tiễn, quy trình phối hợp thiếu tính ràng buộc hoặc bảo đảm nguồn lực thực thi và mức độ triển khai đồng bộ giữa ngành, địa phương. Nếu nguồn lực không được bố trí tương xứng hoặc quy trình phối hợp vận hành không thống nhất, năng lực ứng phó sự cố liên quan vật liệu nguy hiểm bị hạn chế, làm giảm tác động bảo vệ sức khỏe cộng đồng mà giải pháp hướng tới.</w:t>
      </w:r>
    </w:p>
    <w:p w14:paraId="2226E5D4" w14:textId="77777777" w:rsidR="00F33B58" w:rsidRPr="00086837" w:rsidRDefault="00F33B58" w:rsidP="002E638F">
      <w:pPr>
        <w:spacing w:before="60" w:line="276" w:lineRule="auto"/>
        <w:ind w:firstLine="720"/>
        <w:jc w:val="both"/>
        <w:rPr>
          <w:bCs/>
          <w:lang w:val="vi-VN"/>
        </w:rPr>
      </w:pPr>
      <w:r w:rsidRPr="00086837">
        <w:rPr>
          <w:bCs/>
          <w:lang w:val="vi-VN"/>
        </w:rPr>
        <w:t>- Đối với môi trường:</w:t>
      </w:r>
    </w:p>
    <w:p w14:paraId="494BB568" w14:textId="77777777" w:rsidR="00F33B58" w:rsidRPr="00086837" w:rsidRDefault="00F33B58" w:rsidP="002E638F">
      <w:pPr>
        <w:spacing w:before="60" w:line="276" w:lineRule="auto"/>
        <w:ind w:firstLine="720"/>
        <w:jc w:val="both"/>
        <w:rPr>
          <w:bCs/>
          <w:lang w:val="vi-VN"/>
        </w:rPr>
      </w:pPr>
      <w:r w:rsidRPr="00086837">
        <w:rPr>
          <w:bCs/>
          <w:lang w:val="vi-VN"/>
        </w:rPr>
        <w:t>Việc hoàn thiện cơ chế tổ chức thực hiện hoạt động kiểm soát vật liệu và công nghệ lưỡng dụng có thể góp phần hạn chế nguy cơ phát tán hoặc sử dụng trái phép các hóa chất độc hại, qua đó gián tiếp bảo vệ môi trường. Một cơ chế điều phối liên ngành hiệu quả giúp phát hiện sớm các giao dịch rủi ro và ngăn ngừa việc nhập khẩu, lưu thông trái phép vật liệu nguy hiểm. Tuy nhiên, việc tăng cường kiểm soát cũng đòi hỏi cơ sở dữ liệu và hạ tầng công nghệ thông tin, có thể phát sinh chi phí đầu tư ban đầu. Nếu được triển khai đồng bộ, tác động tổng thể đối với môi trường được đánh giá là tích cực.</w:t>
      </w:r>
    </w:p>
    <w:p w14:paraId="787B23E1" w14:textId="77777777" w:rsidR="00F33B58" w:rsidRPr="00086837" w:rsidRDefault="00F33B58" w:rsidP="002E638F">
      <w:pPr>
        <w:spacing w:before="60" w:line="276" w:lineRule="auto"/>
        <w:ind w:firstLine="720"/>
        <w:jc w:val="both"/>
        <w:rPr>
          <w:bCs/>
          <w:lang w:val="vi-VN"/>
        </w:rPr>
      </w:pPr>
      <w:r w:rsidRPr="00086837">
        <w:rPr>
          <w:bCs/>
          <w:lang w:val="vi-VN"/>
        </w:rPr>
        <w:t>- Đối với quốc phòng, an ninh:</w:t>
      </w:r>
    </w:p>
    <w:p w14:paraId="271C6B6C" w14:textId="77777777" w:rsidR="00F33B58" w:rsidRPr="00086837" w:rsidRDefault="00F33B58" w:rsidP="002E638F">
      <w:pPr>
        <w:spacing w:before="60" w:line="276" w:lineRule="auto"/>
        <w:ind w:firstLine="720"/>
        <w:jc w:val="both"/>
        <w:rPr>
          <w:bCs/>
          <w:lang w:val="vi-VN"/>
        </w:rPr>
      </w:pPr>
      <w:r w:rsidRPr="00086837">
        <w:rPr>
          <w:bCs/>
          <w:lang w:val="vi-VN"/>
        </w:rPr>
        <w:t xml:space="preserve">Đây là lĩnh vực chịu tác động tích cực rõ rệt nhất. Việc hoàn thiện cơ chế điều phối liên ngành giúp tăng cường khả năng phát hiện, ngăn chặn và xử lý hành vi liên quan đến phổ biến WMD. Điều này góp phần bảo vệ an ninh quốc gia, giảm nguy cơ bị lợi dụng làm trung chuyển vật liệu hoặc công nghệ nhạy cảm. Việc củng cố cơ chế kiểm soát cũng nâng cao vị thế của Việt Nam trong hợp tác quốc tế về không phổ biến, phù hợp với các nghĩa vụ theo Nghị quyết 1540 của United Nations Security Council và các chuẩn mực đánh giá của </w:t>
      </w:r>
      <w:r w:rsidRPr="00086837">
        <w:rPr>
          <w:bCs/>
          <w:lang w:val="vi-VN"/>
        </w:rPr>
        <w:lastRenderedPageBreak/>
        <w:t>Financial Action Task Force. Tác động tích cực đối với quốc phòng, an ninh được đánh giá là đáng kể và mang tính chiến lược dài hạn.</w:t>
      </w:r>
    </w:p>
    <w:p w14:paraId="0851CB4E" w14:textId="77777777" w:rsidR="00F33B58" w:rsidRPr="00086837" w:rsidRDefault="00F33B58" w:rsidP="002E638F">
      <w:pPr>
        <w:spacing w:before="60" w:line="276" w:lineRule="auto"/>
        <w:ind w:firstLine="720"/>
        <w:jc w:val="both"/>
        <w:rPr>
          <w:bCs/>
          <w:lang w:val="vi-VN"/>
        </w:rPr>
      </w:pPr>
      <w:r w:rsidRPr="00086837">
        <w:rPr>
          <w:bCs/>
          <w:lang w:val="vi-VN"/>
        </w:rPr>
        <w:t>- Đối với phân cấp, phân quyền:</w:t>
      </w:r>
    </w:p>
    <w:p w14:paraId="44F1243C" w14:textId="77777777" w:rsidR="00F33B58" w:rsidRPr="00086837" w:rsidRDefault="00F33B58" w:rsidP="002E638F">
      <w:pPr>
        <w:spacing w:before="60" w:line="276" w:lineRule="auto"/>
        <w:ind w:firstLine="720"/>
        <w:jc w:val="both"/>
        <w:rPr>
          <w:bCs/>
          <w:spacing w:val="-4"/>
          <w:lang w:val="vi-VN"/>
        </w:rPr>
      </w:pPr>
      <w:r w:rsidRPr="00086837">
        <w:rPr>
          <w:bCs/>
          <w:spacing w:val="-4"/>
          <w:lang w:val="vi-VN"/>
        </w:rPr>
        <w:t>Giải pháp chuẩn hóa cơ chế phối hợp giúp làm rõ trách nhiệm của từng bộ, ngành và địa phương, qua đó giảm tình trạng chồng chéo hoặc đùn đẩy trách nhiệm. Tuy nhiên, do vẫn ở cấp nghị định, cơ chế điều phối chưa được xác lập ở mức pháp định cao nhất, nên mức độ ràng buộc trong phân cấp, phân quyền còn phụ thuộc vào sự phối hợp hành chính. Nếu được thiết kế hợp lý, chính sách có thể tăng cường tính minh bạch và trách nhiệm giải trình trong phân cấp quản lý, nhưng chưa tạo ra thay đổi căn bản về cấu trúc phân quyền trong hệ thống pháp luật.</w:t>
      </w:r>
    </w:p>
    <w:p w14:paraId="7207F4C6" w14:textId="77777777" w:rsidR="00F33B58" w:rsidRPr="00086837" w:rsidRDefault="00F33B58" w:rsidP="002E638F">
      <w:pPr>
        <w:spacing w:before="60" w:line="276" w:lineRule="auto"/>
        <w:ind w:firstLine="720"/>
        <w:jc w:val="both"/>
        <w:rPr>
          <w:bCs/>
          <w:lang w:val="vi-VN"/>
        </w:rPr>
      </w:pPr>
      <w:r w:rsidRPr="00086837">
        <w:rPr>
          <w:bCs/>
          <w:lang w:val="vi-VN"/>
        </w:rPr>
        <w:t>- Đối với khoa học, công nghệ, đổi mới sáng tạo và chuyển đổi số:</w:t>
      </w:r>
    </w:p>
    <w:p w14:paraId="36464E1C" w14:textId="77777777" w:rsidR="00F33B58" w:rsidRPr="00F9636C" w:rsidRDefault="00F33B58" w:rsidP="002E638F">
      <w:pPr>
        <w:spacing w:before="60" w:line="276" w:lineRule="auto"/>
        <w:ind w:firstLine="720"/>
        <w:jc w:val="both"/>
        <w:rPr>
          <w:bCs/>
          <w:spacing w:val="-2"/>
          <w:lang w:val="vi-VN"/>
        </w:rPr>
      </w:pPr>
      <w:r w:rsidRPr="00F9636C">
        <w:rPr>
          <w:bCs/>
          <w:spacing w:val="-2"/>
          <w:lang w:val="vi-VN"/>
        </w:rPr>
        <w:t>Chính sách có tác động hai chiều. Một mặt, tăng cường kiểm soát đối với công nghệ lưỡng dụng có thể làm doanh nghiệp và cơ sở nghiên cứu phải thực hiện thêm bước sàng lọc và báo cáo, làm tăng yêu cầu tuân thủ trong hoạt động nghiên cứu và chuyển giao công nghệ. Mặt khác, việc chuẩn hóa cơ chế trao đổi dữ liệu và xây dựng cơ sở dữ liệu liên ngành thúc đẩy ứng dụng công nghệ thông tin, chuyển đổi số trong quản lý nhà nước. Nếu được triển khai gắn với xây dựng hệ thống dữ liệu điện tử, tích hợp và liên thông, chính sách có thể trở thành động lực thúc đẩy chuyển đổi số trong quản lý rủi ro và kiểm soát xuất khẩu.</w:t>
      </w:r>
    </w:p>
    <w:p w14:paraId="422F5D84" w14:textId="77777777" w:rsidR="00F33B58" w:rsidRPr="00086837" w:rsidRDefault="00F33B58" w:rsidP="002E638F">
      <w:pPr>
        <w:spacing w:before="60" w:line="276" w:lineRule="auto"/>
        <w:ind w:firstLine="720"/>
        <w:jc w:val="both"/>
        <w:rPr>
          <w:bCs/>
          <w:lang w:val="vi-VN"/>
        </w:rPr>
      </w:pPr>
      <w:r w:rsidRPr="00086837">
        <w:rPr>
          <w:bCs/>
          <w:lang w:val="vi-VN"/>
        </w:rPr>
        <w:t>- Đối với các nội dung khác của kinh tế – xã hội:</w:t>
      </w:r>
    </w:p>
    <w:p w14:paraId="2E236686" w14:textId="77777777" w:rsidR="00F33B58" w:rsidRPr="00086837" w:rsidRDefault="00F33B58" w:rsidP="002E638F">
      <w:pPr>
        <w:spacing w:before="60" w:line="276" w:lineRule="auto"/>
        <w:ind w:firstLine="720"/>
        <w:jc w:val="both"/>
        <w:rPr>
          <w:bCs/>
          <w:lang w:val="vi-VN"/>
        </w:rPr>
      </w:pPr>
      <w:r w:rsidRPr="00086837">
        <w:rPr>
          <w:bCs/>
          <w:lang w:val="vi-VN"/>
        </w:rPr>
        <w:t>Tổng thể, giải pháp này góp phần củng cố môi trường pháp lý ổn định, nâng cao uy tín quốc gia trong hội nhập quốc tế và giảm rủi ro bị áp dụng biện pháp kiểm soát hoặc trừng phạt thương mại. Lợi ích kinh tế – xã hội dài hạn thể hiện ở việc bảo vệ hệ thống tài chính – thương mại quốc gia, tăng tính dự báo của chính sách và hỗ trợ phát triển bền vững. Tuy nhiên, hiệu quả thực tế phụ thuộc đáng kể vào năng lực thực thi, mức độ phối hợp giữa các cơ quan và khả năng hỗ trợ doanh nghiệp thích ứng. Nếu triển khai đồng bộ, chính sách có thể tạo tác động tích cực toàn diện; ngược lại, nếu thiếu nhất quán hoặc thiếu nguồn lực, tác động tích cực có thể bị hạn chế.</w:t>
      </w:r>
    </w:p>
    <w:p w14:paraId="1F20E6CB" w14:textId="77777777" w:rsidR="00F33B58" w:rsidRPr="00086837" w:rsidRDefault="00F33B58" w:rsidP="002E638F">
      <w:pPr>
        <w:spacing w:before="60" w:line="276" w:lineRule="auto"/>
        <w:ind w:firstLine="720"/>
        <w:jc w:val="both"/>
        <w:rPr>
          <w:bCs/>
          <w:lang w:val="vi-VN"/>
        </w:rPr>
      </w:pPr>
      <w:r w:rsidRPr="00086837">
        <w:rPr>
          <w:bCs/>
          <w:lang w:val="vi-VN"/>
        </w:rPr>
        <w:t>c) Tác động về giới</w:t>
      </w:r>
    </w:p>
    <w:p w14:paraId="4C42B17E" w14:textId="77777777" w:rsidR="00F33B58" w:rsidRPr="00086837" w:rsidRDefault="00F33B58" w:rsidP="002E638F">
      <w:pPr>
        <w:spacing w:before="60" w:line="276" w:lineRule="auto"/>
        <w:ind w:firstLine="720"/>
        <w:jc w:val="both"/>
        <w:rPr>
          <w:bCs/>
          <w:lang w:val="vi-VN"/>
        </w:rPr>
      </w:pPr>
      <w:r w:rsidRPr="00086837">
        <w:rPr>
          <w:bCs/>
          <w:lang w:val="vi-VN"/>
        </w:rPr>
        <w:t xml:space="preserve">Giải pháp này không đặt ra sự khác biệt về quyền, nghĩa vụ hoặc điều kiện áp dụng pháp luật giữa nam và nữ, do nội dung điều chỉnh tập trung vào cơ chế tổ chức thực hiện, phân công trách nhiệm và quy trình phối hợp giữa các cơ quan nhà nước. Đối tượng chịu tác động trực tiếp là cơ quan, tổ chức thực hiện chức năng quản lý nhà nước, không gắn với cá nhân theo giới tính cụ thể. Về mặt tích cực, việc tăng cường đào tạo chuyên môn, xây dựng vị trí chuyên trách và nâng cao năng lực quản trị rủi ro có thể mở rộng cơ hội nghề nghiệp cho cả </w:t>
      </w:r>
      <w:r w:rsidRPr="00086837">
        <w:rPr>
          <w:bCs/>
          <w:lang w:val="vi-VN"/>
        </w:rPr>
        <w:lastRenderedPageBreak/>
        <w:t>nam và nữ, đặc biệt trong các lĩnh vực pháp lý, phân tích dữ liệu và hợp tác quốc tế. Tuy nhiên, nếu việc bố trí nhân sự chuyên trách chủ yếu tập trung trong các lực lượng đặc thù mà thiếu chính sách bảo đảm cân bằng giới, có thể gián tiếp tạo ra chênh lệch cơ hội nghề nghiệp. Nhìn chung, tác động về giới là trung tính và không phát sinh rủi ro bất bình đẳng đáng kể.</w:t>
      </w:r>
    </w:p>
    <w:p w14:paraId="35A00E02" w14:textId="77777777" w:rsidR="00F33B58" w:rsidRPr="00086837" w:rsidRDefault="00F33B58" w:rsidP="002E638F">
      <w:pPr>
        <w:spacing w:before="60" w:line="276" w:lineRule="auto"/>
        <w:ind w:firstLine="720"/>
        <w:jc w:val="both"/>
        <w:rPr>
          <w:bCs/>
          <w:lang w:val="vi-VN"/>
        </w:rPr>
      </w:pPr>
      <w:r w:rsidRPr="00086837">
        <w:rPr>
          <w:bCs/>
          <w:lang w:val="vi-VN"/>
        </w:rPr>
        <w:t>d) Tác động của thủ tục hành chính</w:t>
      </w:r>
    </w:p>
    <w:p w14:paraId="58463765" w14:textId="77777777" w:rsidR="00F33B58" w:rsidRPr="00086837" w:rsidRDefault="00F33B58" w:rsidP="002E638F">
      <w:pPr>
        <w:spacing w:before="60" w:line="276" w:lineRule="auto"/>
        <w:ind w:firstLine="720"/>
        <w:jc w:val="both"/>
        <w:rPr>
          <w:bCs/>
          <w:lang w:val="vi-VN"/>
        </w:rPr>
      </w:pPr>
      <w:r w:rsidRPr="00086837">
        <w:rPr>
          <w:bCs/>
          <w:lang w:val="vi-VN"/>
        </w:rPr>
        <w:t>Giải pháp sửa đổi, bổ sung nghị định có đặc điểm nổi bật là không làm phát sinh ngay các thủ tục hành chính mới, mà tập trung chuẩn hóa quy trình nghiệp vụ trong khuôn khổ các thủ tục đã tồn tại. Đây là yếu tố quan trọng trong bối cảnh cải cách hành chính hiện nay, khi yêu cầu đặt ra không phải là gia tăng kiểm soát bằng cách tăng thêm thủ tục, mà là nâng cao chất lượng quản lý thông qua chuẩn hóa và liên thông dữ liệu.</w:t>
      </w:r>
    </w:p>
    <w:p w14:paraId="18C80146" w14:textId="77777777" w:rsidR="00F33B58" w:rsidRPr="00086837" w:rsidRDefault="00F33B58" w:rsidP="002E638F">
      <w:pPr>
        <w:spacing w:before="60" w:line="276" w:lineRule="auto"/>
        <w:ind w:firstLine="720"/>
        <w:jc w:val="both"/>
        <w:rPr>
          <w:bCs/>
          <w:lang w:val="vi-VN"/>
        </w:rPr>
      </w:pPr>
      <w:r w:rsidRPr="00086837">
        <w:rPr>
          <w:bCs/>
          <w:lang w:val="vi-VN"/>
        </w:rPr>
        <w:t>Theo báo cáo cải cách hành chính năm 2023 của Bộ Nội vụ, cả nước hiện có trên 6.300 thủ tục hành chính đang được áp dụng ở các cấp chính quyền. Trong số này, nhiều thủ tục liên quan đến quản lý xuất nhập khẩu, hải quan, ngân hàng, đầu tư và quản lý hóa chất có sự giao thoa chức năng giữa các bộ, ngành. Việc sửa đổi nghị định theo hướng làm rõ trình tự, trách nhiệm và phương thức phối hợp giúp giảm thiểu tình trạng “một việc – nhiều cửa”, hạn chế yêu cầu doanh nghiệp phải cung cấp lặp lại cùng một loại thông tin cho nhiều cơ quan.</w:t>
      </w:r>
    </w:p>
    <w:p w14:paraId="4BE59D44" w14:textId="77777777" w:rsidR="00F33B58" w:rsidRPr="00086837" w:rsidRDefault="00F33B58" w:rsidP="002E638F">
      <w:pPr>
        <w:spacing w:before="60" w:line="276" w:lineRule="auto"/>
        <w:ind w:firstLine="720"/>
        <w:jc w:val="both"/>
        <w:rPr>
          <w:bCs/>
          <w:lang w:val="vi-VN"/>
        </w:rPr>
      </w:pPr>
      <w:r w:rsidRPr="00086837">
        <w:rPr>
          <w:bCs/>
          <w:lang w:val="vi-VN"/>
        </w:rPr>
        <w:t>Theo công bố của Tổng cục Hải quan, năm 2023 hệ thống hải quan xử lý trên 16 triệu tờ khai, với thời gian thông quan trung bình đối với luồng xanh dưới 3 giây, nhưng đối với luồng kiểm tra thực tế hoặc hồ sơ có thể kéo dài nhiều giờ hoặc nhiều ngày tùy mức độ phối hợp giữa các cơ quan chuyên ngành. Sự thiếu đồng bộ trong trao đổi thông tin giữa cơ quan hải quan, quản lý chuyên ngành và tổ chức tín dụng có thể làm tăng thời gian xử lý, phát sinh chi phí lưu kho, lưu bãi và chi phí cơ hội cho doanh nghiệp. Do đó, việc chuẩn hóa cơ chế phối hợp thông qua nghị định, dù không tạo thủ tục mới, vẫn có thể tác động đáng kể đến hiệu quả thực tế của thủ tục hiện hành.</w:t>
      </w:r>
    </w:p>
    <w:p w14:paraId="42CF1471" w14:textId="77777777" w:rsidR="00F33B58" w:rsidRPr="00F9636C" w:rsidRDefault="00F33B58" w:rsidP="002E638F">
      <w:pPr>
        <w:spacing w:before="60" w:line="276" w:lineRule="auto"/>
        <w:ind w:firstLine="720"/>
        <w:jc w:val="both"/>
        <w:rPr>
          <w:bCs/>
          <w:spacing w:val="-2"/>
          <w:lang w:val="vi-VN"/>
        </w:rPr>
      </w:pPr>
      <w:r w:rsidRPr="00F9636C">
        <w:rPr>
          <w:bCs/>
          <w:spacing w:val="-2"/>
          <w:lang w:val="vi-VN"/>
        </w:rPr>
        <w:t>Ở góc độ minh bạch và trách nhiệm giải trình, việc xác định rõ cơ quan chủ trì, cơ quan phối hợp và thời hạn xử lý giúp hạn chế tình trạng xử lý tùy nghi hoặc đùn đẩy trách nhiệm. Theo khảo sát môi trường kinh doanh năm 2022 của Vietnam Chamber of Commerce and Industry (VCCI), khoảng 41% doanh nghiệp phản ánh gặp khó khăn do cách hiểu và áp dụng pháp luật không thống nhất giữa các cơ quan. Điều này cho thấy cải thiện cơ chế phối hợp có thể tạo ra tác động tích cực trực tiếp đến cảm nhận của doanh nghiệp về môi trường pháp lý.</w:t>
      </w:r>
    </w:p>
    <w:p w14:paraId="1D500B9E" w14:textId="77777777" w:rsidR="00F33B58" w:rsidRPr="00086837" w:rsidRDefault="00F33B58" w:rsidP="002E638F">
      <w:pPr>
        <w:spacing w:before="60" w:line="276" w:lineRule="auto"/>
        <w:ind w:firstLine="720"/>
        <w:jc w:val="both"/>
        <w:rPr>
          <w:bCs/>
          <w:lang w:val="vi-VN"/>
        </w:rPr>
      </w:pPr>
      <w:r w:rsidRPr="00086837">
        <w:rPr>
          <w:bCs/>
          <w:lang w:val="vi-VN"/>
        </w:rPr>
        <w:lastRenderedPageBreak/>
        <w:t>Khi kết hợp với ứng dụng công nghệ thông tin và tích hợp dữ liệu liên thông, hiệu quả cải cách có thể được nhân lên. Theo báo cáo chuyển đổi số quốc gia của Bộ Thông tin và Truyền thông, đến cuối năm 2023, tỷ lệ dịch vụ công trực tuyến mức độ 4 đạt trên 80% ở cấp bộ, nhưng mức độ tích hợp và chia sẻ dữ liệu giữa các hệ thống vẫn còn hạn chế. Việc tích hợp dữ liệu về doanh nghiệp, xuất nhập khẩu, giao dịch tài chính và danh sách kiểm soát nếu được thực hiện đồng bộ có thể rút ngắn thời gian xử lý hồ sơ và giảm phụ thuộc vào hồ sơ giấy.</w:t>
      </w:r>
    </w:p>
    <w:p w14:paraId="22DA7AB3" w14:textId="77777777" w:rsidR="00F33B58" w:rsidRPr="00086837" w:rsidRDefault="00F33B58" w:rsidP="002E638F">
      <w:pPr>
        <w:spacing w:before="60" w:line="276" w:lineRule="auto"/>
        <w:ind w:firstLine="720"/>
        <w:jc w:val="both"/>
        <w:rPr>
          <w:bCs/>
          <w:lang w:val="vi-VN"/>
        </w:rPr>
      </w:pPr>
      <w:r w:rsidRPr="00086837">
        <w:rPr>
          <w:bCs/>
          <w:lang w:val="vi-VN"/>
        </w:rPr>
        <w:t>Tuy nhiên, chính ở điểm này bộc lộ hạn chế căn bản của giải pháp khi các nội dung cốt lõi về thẩm quyền điều phối và chia sẻ dữ liệu chỉ được quy định ở cấp văn bản dưới luật. Nghị định không có hiệu lực pháp lý đủ mạnh để buộc các bộ, ngành chia sẻ dữ liệu thuộc phạm vi quản lý chuyên ngành, đặc biệt là dữ liệu nhạy cảm liên quan đến tài chính, an ninh hoặc thương mại chiến lược. Trên thực tế, theo khảo sát PCI năm 2023 của Vietnam Chamber of Commerce and Industry, “thiếu liên thông dữ liệu giữa các cơ quan nhà nước” tiếp tục nằm trong nhóm các rào cản hành chính lớn nhất đối với doanh nghiệp, bên cạnh chi phí tuân thủ và tính không ổn định của chính sách.</w:t>
      </w:r>
    </w:p>
    <w:p w14:paraId="32A1F7C0" w14:textId="77777777" w:rsidR="00F33B58" w:rsidRPr="00086837" w:rsidRDefault="00F33B58" w:rsidP="002E638F">
      <w:pPr>
        <w:spacing w:before="60" w:line="276" w:lineRule="auto"/>
        <w:ind w:firstLine="720"/>
        <w:jc w:val="both"/>
        <w:rPr>
          <w:bCs/>
          <w:lang w:val="vi-VN"/>
        </w:rPr>
      </w:pPr>
      <w:r w:rsidRPr="00086837">
        <w:rPr>
          <w:bCs/>
          <w:lang w:val="vi-VN"/>
        </w:rPr>
        <w:t>Việc chưa có quy định mang tính nguyên tắc ở cấp luật về hệ thống thông tin dùng chung, phân quyền truy cập và cơ chế chia sẻ dữ liệu dẫn đến tình trạng mỗi bộ, ngành xây dựng hệ thống cơ sở dữ liệu riêng, thiếu chuẩn hóa và thiếu cơ chế bắt buộc kết nối. Hệ quả là quá trình chuyển đổi số mang tính “cát cứ dữ liệu”, phụ thuộc vào sự thỏa thuận hành chính hoặc chỉ đạo điều hành theo từng giai đoạn. Trong lĩnh vực phòng, chống phổ biến WMD – nơi thông tin liên quan đến doanh nghiệp, giao dịch tài chính, hàng hóa lưỡng dụng và danh sách kiểm soát cần được đối chiếu nhanh chóng – sự thiếu liên thông có thể làm giảm hiệu quả kiểm soát hoặc kéo dài thời gian xử lý.</w:t>
      </w:r>
    </w:p>
    <w:p w14:paraId="0AAA489C" w14:textId="77777777" w:rsidR="00F33B58" w:rsidRPr="00086837" w:rsidRDefault="00F33B58" w:rsidP="002E638F">
      <w:pPr>
        <w:spacing w:before="60" w:line="276" w:lineRule="auto"/>
        <w:ind w:firstLine="720"/>
        <w:jc w:val="both"/>
        <w:rPr>
          <w:bCs/>
          <w:lang w:val="vi-VN"/>
        </w:rPr>
      </w:pPr>
      <w:r w:rsidRPr="00086837">
        <w:rPr>
          <w:bCs/>
          <w:lang w:val="vi-VN"/>
        </w:rPr>
        <w:t>Ngoài ra, do cơ chế điều phối chỉ ở cấp nghị định, việc áp dụng giữa các bộ, ngành và địa phương có thể không đồng đều. Một số địa phương có năng lực công nghệ và nguồn lực tốt có thể triển khai nhanh, trong khi nơi khác còn phụ thuộc vào quy trình thủ công. Điều này ảnh hưởng đến tính dự báo và sự thống nhất trong thực thi, làm giảm hiệu quả chung của cải cách.</w:t>
      </w:r>
    </w:p>
    <w:p w14:paraId="41B04391" w14:textId="77777777" w:rsidR="00F33B58" w:rsidRPr="00086837" w:rsidRDefault="00F33B58" w:rsidP="002E638F">
      <w:pPr>
        <w:spacing w:before="60" w:line="276" w:lineRule="auto"/>
        <w:ind w:firstLine="720"/>
        <w:jc w:val="both"/>
        <w:rPr>
          <w:bCs/>
          <w:lang w:val="vi-VN"/>
        </w:rPr>
      </w:pPr>
      <w:r w:rsidRPr="00086837">
        <w:rPr>
          <w:bCs/>
          <w:lang w:val="vi-VN"/>
        </w:rPr>
        <w:t xml:space="preserve">Từ góc độ kinh tế </w:t>
      </w:r>
      <w:r>
        <w:rPr>
          <w:bCs/>
        </w:rPr>
        <w:t>-</w:t>
      </w:r>
      <w:r w:rsidRPr="00086837">
        <w:rPr>
          <w:bCs/>
          <w:lang w:val="vi-VN"/>
        </w:rPr>
        <w:t xml:space="preserve"> xã hội, nếu hệ thống thủ tục điện tử được triển khai đồng bộ, lợi ích mang lại là đáng kể. Theo ước tính của World Bank trong các nghiên cứu về thuận lợi hóa thương mại, cải thiện hiệu quả thủ tục và chia sẻ dữ liệu có thể giúp giảm 5</w:t>
      </w:r>
      <w:r>
        <w:rPr>
          <w:bCs/>
        </w:rPr>
        <w:t>-</w:t>
      </w:r>
      <w:r w:rsidRPr="00086837">
        <w:rPr>
          <w:bCs/>
          <w:lang w:val="vi-VN"/>
        </w:rPr>
        <w:t>10% chi phí giao dịch liên quan đến thương mại xuyên biên giới. Tuy nhiên, nếu chỉ sửa đổi nghị định mà không có nền tảng pháp lý cấp luật để bắt buộc chia sẻ dữ liệu và thống nhất hệ thống thông tin, lợi ích đạt được có thể chỉ dừng ở mức cải thiện cục bộ.</w:t>
      </w:r>
    </w:p>
    <w:p w14:paraId="221CE2AD" w14:textId="77777777" w:rsidR="00F33B58" w:rsidRPr="00086837" w:rsidRDefault="00F33B58" w:rsidP="002E638F">
      <w:pPr>
        <w:spacing w:before="60" w:line="276" w:lineRule="auto"/>
        <w:ind w:firstLine="720"/>
        <w:jc w:val="both"/>
        <w:rPr>
          <w:bCs/>
          <w:lang w:val="vi-VN"/>
        </w:rPr>
      </w:pPr>
      <w:r w:rsidRPr="00086837">
        <w:rPr>
          <w:bCs/>
          <w:lang w:val="vi-VN"/>
        </w:rPr>
        <w:lastRenderedPageBreak/>
        <w:t>Tổng hợp lại, giải pháp sửa đổi nghị định có ưu điểm là không làm gia tăng gánh nặng thủ tục hành chính ngay lập tức và tạo điều kiện chuẩn hóa quy trình trong khuôn khổ hiện hành. Khi gắn với chuyển đổi số, giải pháp có tiềm năng nâng cao tốc độ xử lý và tăng tính minh bạch. Tuy nhiên, do thiếu cơ sở pháp lý cấp luật về điều phối dữ liệu và phân định thẩm quyền ràng buộc, cải cách thủ tục hành chính và chuyển đổi số trong lĩnh vực phòng, chống phổ biến WMD vẫn phụ thuộc nhiều vào ý chí điều hành và năng lực thực thi của từng cơ quan. Nếu không có bước hoàn thiện ở cấp luật trong dài hạn, việc sửa đổi nghị định chỉ có thể xử lý phần kỹ thuật của quy trình hành chính điện tử mà chưa tạo ra sự thay đổi cấu trúc bền vững về quản trị dữ liệu và trách nhiệm giải trình.</w:t>
      </w:r>
    </w:p>
    <w:p w14:paraId="4930C7E3" w14:textId="6DB41A19" w:rsidR="00F33B58" w:rsidRPr="00086837" w:rsidRDefault="00F33B58" w:rsidP="002E638F">
      <w:pPr>
        <w:spacing w:before="60" w:line="276" w:lineRule="auto"/>
        <w:ind w:firstLine="720"/>
        <w:jc w:val="both"/>
        <w:rPr>
          <w:i/>
          <w:iCs/>
          <w:lang w:val="vi-VN"/>
        </w:rPr>
      </w:pPr>
      <w:r w:rsidRPr="00086837">
        <w:rPr>
          <w:i/>
          <w:lang w:val="vi-VN"/>
        </w:rPr>
        <w:t xml:space="preserve">3.2.2. Giải pháp 2: </w:t>
      </w:r>
      <w:bookmarkStart w:id="2" w:name="_Hlk223290161"/>
      <w:r w:rsidRPr="00086837">
        <w:rPr>
          <w:i/>
          <w:iCs/>
          <w:lang w:val="vi-VN"/>
        </w:rPr>
        <w:t xml:space="preserve">Ban hành khung pháp lý ở cấp luật để thiết lập cơ chế tổ chức thực thi thống nhất, ổn định và cơ chế bảo đảm nguồn lực dài hạn cho phòng, chống phổ biến và tài trợ phổ biến </w:t>
      </w:r>
      <w:bookmarkEnd w:id="2"/>
      <w:r w:rsidR="001E728E">
        <w:rPr>
          <w:i/>
          <w:iCs/>
          <w:lang w:val="vi-VN"/>
        </w:rPr>
        <w:t>vũ khí hủy diệt hàng loạt</w:t>
      </w:r>
    </w:p>
    <w:p w14:paraId="6F711C6A" w14:textId="77777777" w:rsidR="00F33B58" w:rsidRPr="00086837" w:rsidRDefault="00F33B58" w:rsidP="002E638F">
      <w:pPr>
        <w:spacing w:before="60" w:line="276" w:lineRule="auto"/>
        <w:ind w:firstLine="720"/>
        <w:jc w:val="both"/>
        <w:rPr>
          <w:bCs/>
          <w:lang w:val="vi-VN"/>
        </w:rPr>
      </w:pPr>
      <w:r w:rsidRPr="00086837">
        <w:rPr>
          <w:bCs/>
          <w:lang w:val="vi-VN"/>
        </w:rPr>
        <w:t>a) Tác động đối với hệ thống pháp luật</w:t>
      </w:r>
    </w:p>
    <w:p w14:paraId="615BFD40" w14:textId="77777777" w:rsidR="00F33B58" w:rsidRPr="00086837" w:rsidRDefault="00F33B58" w:rsidP="002E638F">
      <w:pPr>
        <w:spacing w:before="60" w:line="276" w:lineRule="auto"/>
        <w:ind w:firstLine="720"/>
        <w:jc w:val="both"/>
        <w:rPr>
          <w:bCs/>
          <w:lang w:val="vi-VN"/>
        </w:rPr>
      </w:pPr>
      <w:r w:rsidRPr="00086837">
        <w:rPr>
          <w:bCs/>
          <w:lang w:val="vi-VN"/>
        </w:rPr>
        <w:t>- Tính hợp hiến của chính sách:</w:t>
      </w:r>
    </w:p>
    <w:p w14:paraId="210F6C13" w14:textId="33D5D986" w:rsidR="00F33B58" w:rsidRPr="00086837" w:rsidRDefault="00F33B58" w:rsidP="002E638F">
      <w:pPr>
        <w:spacing w:before="60" w:line="276" w:lineRule="auto"/>
        <w:ind w:firstLine="720"/>
        <w:jc w:val="both"/>
        <w:rPr>
          <w:bCs/>
          <w:lang w:val="vi-VN"/>
        </w:rPr>
      </w:pPr>
      <w:r w:rsidRPr="00086837">
        <w:rPr>
          <w:bCs/>
          <w:lang w:val="vi-VN"/>
        </w:rPr>
        <w:t xml:space="preserve">Hiến pháp năm 2013 xác định bảo vệ Tổ quốc, bảo đảm an ninh quốc gia là nhiệm vụ trọng yếu, thường xuyên của Nhà nước và toàn dân. Trong bối cảnh nguy cơ phổ biến WMD ngày càng phức tạp, việc thiết lập một khuôn khổ pháp lý có hiệu lực cao ở cấp luật là phù hợp với yêu cầu hiến định về bảo đảm an ninh quốc gia và trật tự, an toàn xã hội. Luật hóa cơ chế kiểm soát giúp nâng cao năng lực phòng ngừa, phát hiện và xử lý các hành vi tài trợ hoặc hỗ trợ phổ biến WMD, qua đó góp phần thực hiện trực tiếp chức năng hiến định của Nhà nước trong lĩnh vực quốc phòng </w:t>
      </w:r>
      <w:r w:rsidR="00941C49">
        <w:rPr>
          <w:bCs/>
        </w:rPr>
        <w:t>-</w:t>
      </w:r>
      <w:r w:rsidRPr="00086837">
        <w:rPr>
          <w:bCs/>
          <w:lang w:val="vi-VN"/>
        </w:rPr>
        <w:t xml:space="preserve"> an ninh.</w:t>
      </w:r>
    </w:p>
    <w:p w14:paraId="67B1D6FD" w14:textId="77777777" w:rsidR="00F33B58" w:rsidRPr="00086837" w:rsidRDefault="00F33B58" w:rsidP="002E638F">
      <w:pPr>
        <w:spacing w:before="60" w:line="276" w:lineRule="auto"/>
        <w:ind w:firstLine="720"/>
        <w:jc w:val="both"/>
        <w:rPr>
          <w:bCs/>
          <w:lang w:val="vi-VN"/>
        </w:rPr>
      </w:pPr>
      <w:r w:rsidRPr="00086837">
        <w:rPr>
          <w:bCs/>
          <w:lang w:val="vi-VN"/>
        </w:rPr>
        <w:t>Đồng thời, Hiến pháp cũng quy định nguyên tắc mọi hạn chế quyền con người, quyền công dân phải do luật định. Trong lĩnh vực phòng, chống phổ biến WMD, các biện pháp như phong tỏa tài sản, đình chỉ giao dịch, kiểm soát đặc biệt đối với hàng hóa, công nghệ lưỡng dụng có thể tác động trực tiếp đến quyền sở hữu tài sản và quyền tự do kinh doanh. Nếu các biện pháp này chỉ được quy định ở cấp nghị định, cơ sở hiến định có thể chưa thực sự vững chắc. Việc ban hành luật sẽ bảo đảm rằng các hạn chế quyền (nếu có) được đặt ra đúng thẩm quyền, đúng hình thức pháp lý theo yêu cầu của Hiến pháp, qua đó nâng cao mức độ an toàn pháp lý và hạn chế rủi ro tranh chấp hiến định.</w:t>
      </w:r>
    </w:p>
    <w:p w14:paraId="2C9189B1" w14:textId="77777777" w:rsidR="00F33B58" w:rsidRPr="00086837" w:rsidRDefault="00F33B58" w:rsidP="002E638F">
      <w:pPr>
        <w:spacing w:before="60" w:line="276" w:lineRule="auto"/>
        <w:ind w:firstLine="720"/>
        <w:jc w:val="both"/>
        <w:rPr>
          <w:bCs/>
          <w:lang w:val="vi-VN"/>
        </w:rPr>
      </w:pPr>
      <w:r w:rsidRPr="00086837">
        <w:rPr>
          <w:bCs/>
          <w:lang w:val="vi-VN"/>
        </w:rPr>
        <w:t xml:space="preserve">Xét về tính tương xứng, luật cần thiết kế các biện pháp kiểm soát dựa trên nguyên tắc quản trị rủi ro, tránh áp dụng biện pháp cứng nhắc hoặc bao trùm không cần thiết. Với quy mô thương mại quốc tế của Việt Nam đạt khoảng 683 tỷ USD năm 2023 theo công bố của Tổng cục Thống kê, việc áp dụng các biện pháp kiểm soát không tương xứng có thể gây tác động lan tỏa lớn đến hoạt động </w:t>
      </w:r>
      <w:r w:rsidRPr="00086837">
        <w:rPr>
          <w:bCs/>
          <w:lang w:val="vi-VN"/>
        </w:rPr>
        <w:lastRenderedPageBreak/>
        <w:t>kinh tế. Do đó, luật phải bảo đảm cân bằng giữa yêu cầu bảo vệ an ninh quốc gia và bảo vệ quyền, lợi ích hợp pháp của tổ chức, cá nhân. Như vậy, về phương diện hợp hiến, việc luật hóa không chỉ phù hợp mà còn cần thiết để bảo đảm tính chính danh hiến định của các biện pháp kiểm soát có khả năng hạn chế quyền.</w:t>
      </w:r>
    </w:p>
    <w:p w14:paraId="665C26B6" w14:textId="77777777" w:rsidR="00F33B58" w:rsidRPr="00086837" w:rsidRDefault="00F33B58" w:rsidP="002E638F">
      <w:pPr>
        <w:spacing w:before="60" w:line="276" w:lineRule="auto"/>
        <w:ind w:firstLine="720"/>
        <w:jc w:val="both"/>
        <w:rPr>
          <w:bCs/>
          <w:lang w:val="vi-VN"/>
        </w:rPr>
      </w:pPr>
      <w:r w:rsidRPr="00086837">
        <w:rPr>
          <w:bCs/>
          <w:lang w:val="vi-VN"/>
        </w:rPr>
        <w:t>- Tính hợp pháp, tính thống nhất của chính sách:</w:t>
      </w:r>
    </w:p>
    <w:p w14:paraId="78460508" w14:textId="77777777" w:rsidR="00F33B58" w:rsidRPr="00086837" w:rsidRDefault="00F33B58" w:rsidP="002E638F">
      <w:pPr>
        <w:spacing w:before="60" w:line="276" w:lineRule="auto"/>
        <w:ind w:firstLine="720"/>
        <w:jc w:val="both"/>
        <w:rPr>
          <w:bCs/>
          <w:lang w:val="vi-VN"/>
        </w:rPr>
      </w:pPr>
      <w:r w:rsidRPr="00086837">
        <w:rPr>
          <w:bCs/>
          <w:lang w:val="vi-VN"/>
        </w:rPr>
        <w:t>Trên phương diện tính hợp pháp và tính thống nhất của hệ thống pháp luật, việc ban hành luật chuyên ngành có ý nghĩa đặc biệt quan trọng. Hiện nay, các quy định liên quan đến kiểm soát phổ biến WMD và hàng hóa lưỡng dụng đang được quy định rải rác trong nhiều văn bản thuộc các lĩnh vực như ngoại thương, hải quan, tài chính, hóa chất, năng lượng nguyên tử, khoa học – công nghệ và phòng, chống rửa tiền. Hệ thống pháp luật Việt Nam hiện có hàng chục nghìn văn bản quy phạm pháp luật còn hiệu lực ở các cấp khác nhau theo thống kê của Bộ Tư pháp. Sự phân tán này làm tăng nguy cơ chồng chéo, thiếu thống nhất và gây khó khăn cho cơ quan thực thi cũng như doanh nghiệp trong việc tuân thủ.</w:t>
      </w:r>
    </w:p>
    <w:p w14:paraId="313BF9D8" w14:textId="77777777" w:rsidR="00F33B58" w:rsidRPr="00086837" w:rsidRDefault="00F33B58" w:rsidP="002E638F">
      <w:pPr>
        <w:spacing w:before="60" w:line="276" w:lineRule="auto"/>
        <w:ind w:firstLine="720"/>
        <w:jc w:val="both"/>
        <w:rPr>
          <w:bCs/>
          <w:lang w:val="vi-VN"/>
        </w:rPr>
      </w:pPr>
      <w:r w:rsidRPr="00086837">
        <w:rPr>
          <w:bCs/>
          <w:lang w:val="vi-VN"/>
        </w:rPr>
        <w:t>Việc ban hành luật sẽ tạo lập một khuôn khổ pháp lý thống nhất, đồng bộ và có hiệu lực pháp lý cao, qua đó khắc phục tình trạng quy định rải rác, thiếu liên kết và chưa thiết lập rõ cơ chế điều phối trung tâm. Khi luật xác định rõ cơ quan chủ trì, cơ quan phối hợp, thẩm quyền và trách nhiệm cụ thể của từng chủ thể, mức độ ràng buộc pháp lý sẽ được nâng lên đáng kể, hạn chế tình trạng chồng chéo, bỏ trống trách nhiệm hoặc phụ thuộc quá nhiều vào cơ chế phối hợp hành chính linh hoạt nhưng thiếu ổn định. Điều này đặc biệt quan trọng trong bối cảnh Việt Nam hiện có trên 900.000 doanh nghiệp đang hoạt động theo Sách trắng Doanh nghiệp 2023 của Bộ Kế hoạch và Đầu tư, trong đó nhiều doanh nghiệp tham gia sâu vào chuỗi cung ứng toàn cầu và chịu tác động trực tiếp của các cơ chế kiểm soát xuất khẩu, tài chính quốc tế.</w:t>
      </w:r>
    </w:p>
    <w:p w14:paraId="64ECA9B6" w14:textId="77777777" w:rsidR="00F33B58" w:rsidRPr="00086837" w:rsidRDefault="00F33B58" w:rsidP="002E638F">
      <w:pPr>
        <w:spacing w:before="60" w:line="269" w:lineRule="auto"/>
        <w:ind w:firstLine="720"/>
        <w:jc w:val="both"/>
        <w:rPr>
          <w:bCs/>
          <w:lang w:val="vi-VN"/>
        </w:rPr>
      </w:pPr>
      <w:r w:rsidRPr="00086837">
        <w:rPr>
          <w:bCs/>
          <w:lang w:val="vi-VN"/>
        </w:rPr>
        <w:t>Tuy nhiên, quá trình xây dựng và ban hành luật cũng đặt ra yêu cầu cao về kỹ thuật lập pháp và phối hợp liên ngành. Nếu không thực hiện rà soát toàn diện các luật có liên quan như luật về ngoại thương, hải quan, tài chính, hóa chất, năng lượng nguyên tử và khoa học – công nghệ, nguy cơ chồng chéo hoặc xung đột pháp luật có thể phát sinh, đặc biệt về thẩm quyền cấp phép, biện pháp cưỡng chế và chế tài xử lý vi phạm. Ngoài ra, luật với mức độ ràng buộc cao có thể làm gia tăng nghĩa vụ pháp lý đối với cơ quan thực thi và khu vực tư nhân, đòi hỏi phải đầu tư nguồn lực cho đào tạo, xây dựng cơ sở dữ liệu và hoàn thiện quy trình nội bộ. Vì vậy, thiết kế chính sách cần bảo đảm nguyên tắc cân bằng giữa kiểm soát chặt chẽ và tạo thuận lợi thương mại, tránh gây cản trở không cần thiết cho hoạt động hợp pháp.</w:t>
      </w:r>
    </w:p>
    <w:p w14:paraId="66378794" w14:textId="77777777" w:rsidR="00F33B58" w:rsidRPr="00086837" w:rsidRDefault="00F33B58" w:rsidP="002E638F">
      <w:pPr>
        <w:spacing w:before="60" w:line="269" w:lineRule="auto"/>
        <w:ind w:firstLine="720"/>
        <w:jc w:val="both"/>
        <w:rPr>
          <w:bCs/>
          <w:lang w:val="vi-VN"/>
        </w:rPr>
      </w:pPr>
      <w:r w:rsidRPr="00086837">
        <w:rPr>
          <w:bCs/>
          <w:lang w:val="vi-VN"/>
        </w:rPr>
        <w:lastRenderedPageBreak/>
        <w:t xml:space="preserve">- Tính tương thích của chính sách với các điều ước quốc tế có liên quan mà nước Cộng hòa xã hội chủ nghĩa Việt Nam là thành viên: </w:t>
      </w:r>
    </w:p>
    <w:p w14:paraId="7B591825" w14:textId="77777777" w:rsidR="00F33B58" w:rsidRPr="00086837" w:rsidRDefault="00F33B58" w:rsidP="002E638F">
      <w:pPr>
        <w:spacing w:before="60" w:line="269" w:lineRule="auto"/>
        <w:ind w:firstLine="720"/>
        <w:jc w:val="both"/>
        <w:rPr>
          <w:bCs/>
          <w:lang w:val="vi-VN"/>
        </w:rPr>
      </w:pPr>
      <w:r w:rsidRPr="00086837">
        <w:rPr>
          <w:bCs/>
          <w:lang w:val="vi-VN"/>
        </w:rPr>
        <w:t>Trên phương diện tính tương thích với các điều ước quốc tế, việc ban hành luật có ý nghĩa then chốt trong nội luật hóa đầy đủ các nghĩa vụ mà Việt Nam đã cam kết. Nghị quyết 1540 của United Nations Security Council yêu cầu các quốc gia thiết lập và duy trì hệ thống pháp luật quốc gia hiệu quả nhằm ngăn chặn phổ biến WMD, bao gồm cả các biện pháp pháp lý, hành chính và thực thi phù hợp. Việc luật hóa cơ chế kiểm soát chính là bước đi phù hợp với tinh thần của nghị quyết này.</w:t>
      </w:r>
    </w:p>
    <w:p w14:paraId="24004C6A" w14:textId="77777777" w:rsidR="00F33B58" w:rsidRPr="00086837" w:rsidRDefault="00F33B58" w:rsidP="002E638F">
      <w:pPr>
        <w:spacing w:before="60" w:line="269" w:lineRule="auto"/>
        <w:ind w:firstLine="720"/>
        <w:jc w:val="both"/>
        <w:rPr>
          <w:bCs/>
          <w:lang w:val="vi-VN"/>
        </w:rPr>
      </w:pPr>
      <w:r w:rsidRPr="00086837">
        <w:rPr>
          <w:bCs/>
          <w:lang w:val="vi-VN"/>
        </w:rPr>
        <w:t>Bên cạnh đó, Việt Nam là thành viên của Hiệp ước Không phổ biến vũ khí hạt nhân, Công ước Cấm vũ khí sinh học và Công ước Cấm vũ khí hóa học. Các điều ước này đều yêu cầu quốc gia thành viên ban hành biện pháp lập pháp cần thiết để thực hiện nghĩa vụ không phổ biến, kiểm soát vật liệu và công nghệ nhạy cảm, cũng như thiết lập cơ chế xử lý vi phạm hiệu quả. Luật chuyên ngành sẽ tạo cơ sở pháp lý vững chắc để nội luật hóa đầy đủ các nghĩa vụ đó, bảo đảm sự tương thích giữa pháp luật quốc gia và pháp luật quốc tế.</w:t>
      </w:r>
    </w:p>
    <w:p w14:paraId="3A80337C" w14:textId="77777777" w:rsidR="00F33B58" w:rsidRPr="00086837" w:rsidRDefault="00F33B58" w:rsidP="002E638F">
      <w:pPr>
        <w:spacing w:before="60" w:line="269" w:lineRule="auto"/>
        <w:ind w:firstLine="720"/>
        <w:jc w:val="both"/>
        <w:rPr>
          <w:bCs/>
          <w:lang w:val="vi-VN"/>
        </w:rPr>
      </w:pPr>
      <w:r w:rsidRPr="00086837">
        <w:rPr>
          <w:bCs/>
          <w:lang w:val="vi-VN"/>
        </w:rPr>
        <w:t xml:space="preserve">Trong bối cảnh Việt Nam hội nhập sâu rộng, uy tín pháp lý và mức độ tuân thủ quốc tế có ảnh hưởng trực tiếp đến môi trường đầu tư, thương mại và hợp tác khoa học </w:t>
      </w:r>
      <w:r>
        <w:rPr>
          <w:bCs/>
        </w:rPr>
        <w:t>-</w:t>
      </w:r>
      <w:r w:rsidRPr="00086837">
        <w:rPr>
          <w:bCs/>
          <w:lang w:val="vi-VN"/>
        </w:rPr>
        <w:t xml:space="preserve"> công nghệ. Việc ban hành luật không chỉ giúp nâng cao tính hợp hiến và tính thống nhất nội tại của hệ thống pháp luật, mà còn góp phần củng cố vị thế pháp lý và uy tín quốc tế của Việt Nam trong lĩnh vực không phổ biến vũ khí hủy diệt hàng loạt.</w:t>
      </w:r>
    </w:p>
    <w:p w14:paraId="6343DFA1" w14:textId="77777777" w:rsidR="00F33B58" w:rsidRPr="00086837" w:rsidRDefault="00F33B58" w:rsidP="002E638F">
      <w:pPr>
        <w:spacing w:before="60" w:line="269" w:lineRule="auto"/>
        <w:ind w:firstLine="720"/>
        <w:jc w:val="both"/>
        <w:rPr>
          <w:bCs/>
          <w:lang w:val="vi-VN"/>
        </w:rPr>
      </w:pPr>
      <w:r w:rsidRPr="00086837">
        <w:rPr>
          <w:bCs/>
          <w:lang w:val="vi-VN"/>
        </w:rPr>
        <w:t>b) Tác động về kinh tế -  xã hội</w:t>
      </w:r>
    </w:p>
    <w:p w14:paraId="3DE71D8C" w14:textId="77777777" w:rsidR="00F33B58" w:rsidRPr="00086837" w:rsidRDefault="00F33B58" w:rsidP="002E638F">
      <w:pPr>
        <w:spacing w:before="60" w:line="269" w:lineRule="auto"/>
        <w:ind w:firstLine="720"/>
        <w:jc w:val="both"/>
        <w:rPr>
          <w:bCs/>
          <w:lang w:val="vi-VN"/>
        </w:rPr>
      </w:pPr>
      <w:r w:rsidRPr="00086837">
        <w:rPr>
          <w:bCs/>
          <w:lang w:val="vi-VN"/>
        </w:rPr>
        <w:t>- Đối với sản xuất, kinh doanh:</w:t>
      </w:r>
    </w:p>
    <w:p w14:paraId="66655993" w14:textId="77777777" w:rsidR="00F33B58" w:rsidRPr="00086837" w:rsidRDefault="00F33B58" w:rsidP="002E638F">
      <w:pPr>
        <w:spacing w:before="60" w:line="269" w:lineRule="auto"/>
        <w:ind w:firstLine="720"/>
        <w:jc w:val="both"/>
        <w:rPr>
          <w:bCs/>
          <w:lang w:val="vi-VN"/>
        </w:rPr>
      </w:pPr>
      <w:r w:rsidRPr="00086837">
        <w:rPr>
          <w:bCs/>
          <w:lang w:val="vi-VN"/>
        </w:rPr>
        <w:t>Giải pháp có tác động trực tiếp và sâu rộng đến môi trường sản xuất, kinh doanh, đặc biệt trong bối cảnh Việt Nam là một trong những nền kinh tế có độ mở cao nhất khu vực. Theo công bố của VCCI, năm 2025 kim ngạch xuất nhập khẩu của Việt Nam ước đạt khoảng 920 tỷ USD, tăng mạnh so với mức 683 tỷ USD năm 2023 theo số liệu của Tổng cục Thống kê. Tỷ lệ kim ngạch xuất nhập khẩu/GDP duy trì ở mức trên 170%, cho thấy thương mại quốc tế đóng vai trò sống còn đối với tăng trưởng kinh tế.</w:t>
      </w:r>
    </w:p>
    <w:p w14:paraId="592A54D0" w14:textId="77777777" w:rsidR="00F33B58" w:rsidRPr="00086837" w:rsidRDefault="00F33B58" w:rsidP="002E638F">
      <w:pPr>
        <w:spacing w:before="60" w:line="269" w:lineRule="auto"/>
        <w:ind w:firstLine="720"/>
        <w:jc w:val="both"/>
        <w:rPr>
          <w:bCs/>
          <w:lang w:val="vi-VN"/>
        </w:rPr>
      </w:pPr>
      <w:r w:rsidRPr="00086837">
        <w:rPr>
          <w:bCs/>
          <w:lang w:val="vi-VN"/>
        </w:rPr>
        <w:t xml:space="preserve">Với quy mô thương mại gần 1.000 tỷ USD mỗi năm, chỉ cần phát sinh sự chồng chéo trong thủ tục hoặc kéo dài thời gian thông quan thêm 1 ngày cũng có thể tạo ra chi phí kinh tế đáng kể. Ước tính chi phí lưu kho, lưu bãi và chi phí vốn dao động khoảng 0,02%–0,05% giá trị lô hàng/ngày. Nếu áp dụng trên quy mô hàng triệu lô hàng, chi phí cộng dồn là rất lớn. Việc luật hóa cơ chế quản trị rủi ro, phân luồng và chia sẻ dữ liệu liên thông giúp giảm kiểm tra trùng lặp, rút </w:t>
      </w:r>
      <w:r w:rsidRPr="00086837">
        <w:rPr>
          <w:bCs/>
          <w:lang w:val="vi-VN"/>
        </w:rPr>
        <w:lastRenderedPageBreak/>
        <w:t>ngắn thời gian xử lý đối với doanh nghiệp tuân thủ tốt, từ đó tiết kiệm chi phí và tăng tính cạnh tranh.</w:t>
      </w:r>
    </w:p>
    <w:p w14:paraId="4804856E" w14:textId="77777777" w:rsidR="00F33B58" w:rsidRPr="00086837" w:rsidRDefault="00F33B58" w:rsidP="002E638F">
      <w:pPr>
        <w:spacing w:before="60" w:line="269" w:lineRule="auto"/>
        <w:ind w:firstLine="720"/>
        <w:jc w:val="both"/>
        <w:rPr>
          <w:bCs/>
          <w:lang w:val="vi-VN"/>
        </w:rPr>
      </w:pPr>
      <w:r w:rsidRPr="00086837">
        <w:rPr>
          <w:bCs/>
          <w:lang w:val="vi-VN"/>
        </w:rPr>
        <w:t>Theo Sách trắng Doanh nghiệp 2023 của Bộ Kế hoạch và Đầu tư, Việt Nam có hơn 900.000 doanh nghiệp đang hoạt động, trong đó trên 98% là doanh nghiệp nhỏ và vừa. Hệ thống pháp lý phân tán hiện nay khiến nhiều doanh nghiệp gặp khó khăn trong việc xác định nghĩa vụ tuân thủ. Luật chuyên ngành với quy định thống nhất, minh bạch sẽ giúp doanh nghiệp chủ động xây dựng hệ thống kiểm soát nội bộ và giảm rủi ro vi phạm do cách hiểu khác nhau giữa các cơ quan. Tuy nhiên, trong giai đoạn đầu, chi phí thiết lập hệ thống tuân thủ có thể chiếm khoảng 0,1%–0,5% doanh thu thường niên đối với doanh nghiệp quy mô trung bình. Vì vậy, cần có lộ trình và hướng dẫn kỹ thuật rõ ràng để hạn chế tác động bất lợi.</w:t>
      </w:r>
    </w:p>
    <w:p w14:paraId="707FACF1" w14:textId="77777777" w:rsidR="00F33B58" w:rsidRPr="00086837" w:rsidRDefault="00F33B58" w:rsidP="002E638F">
      <w:pPr>
        <w:spacing w:before="60" w:line="269" w:lineRule="auto"/>
        <w:ind w:firstLine="720"/>
        <w:jc w:val="both"/>
        <w:rPr>
          <w:bCs/>
          <w:lang w:val="vi-VN"/>
        </w:rPr>
      </w:pPr>
      <w:r w:rsidRPr="00086837">
        <w:rPr>
          <w:bCs/>
          <w:lang w:val="vi-VN"/>
        </w:rPr>
        <w:t>- Đối với việc làm:</w:t>
      </w:r>
    </w:p>
    <w:p w14:paraId="6D1A8D8A" w14:textId="77777777" w:rsidR="00F33B58" w:rsidRPr="00086837" w:rsidRDefault="00F33B58" w:rsidP="002E638F">
      <w:pPr>
        <w:spacing w:before="60" w:line="269" w:lineRule="auto"/>
        <w:ind w:firstLine="720"/>
        <w:jc w:val="both"/>
        <w:rPr>
          <w:bCs/>
          <w:lang w:val="vi-VN"/>
        </w:rPr>
      </w:pPr>
      <w:r w:rsidRPr="00086837">
        <w:rPr>
          <w:bCs/>
          <w:lang w:val="vi-VN"/>
        </w:rPr>
        <w:t>Tác động đối với việc làm chủ yếu mang tính nâng cao chất lượng lao động. Theo số liệu của Tổng cục Thống kê, lực lượng lao động Việt Nam năm 2023 khoảng 52 triệu người. Việc tăng cường kiểm soát và quản trị rủi ro trong thương mại quốc tế sẽ làm gia tăng nhu cầu nhân lực trong các lĩnh vực pháp chế, quản trị tuân thủ, phân tích dữ liệu, công nghệ thông tin và kiểm soát xuất khẩu. Điều này thúc đẩy chuyển dịch cơ cấu lao động từ các vị trí thuần túy sản xuất sang các vị trí có hàm lượng kỹ năng cao hơn. Trong dài hạn, đây là yếu tố tích cực góp phần nâng cao năng suất lao động và khả năng hội nhập. Tác động tiêu cực, nếu có, chủ yếu mang tính tạm thời trong giai đoạn doanh nghiệp điều chỉnh quy trình nội bộ.</w:t>
      </w:r>
    </w:p>
    <w:p w14:paraId="2EB4C7DE" w14:textId="77777777" w:rsidR="00F33B58" w:rsidRPr="00086837" w:rsidRDefault="00F33B58" w:rsidP="002E638F">
      <w:pPr>
        <w:spacing w:before="60" w:line="269" w:lineRule="auto"/>
        <w:ind w:firstLine="720"/>
        <w:jc w:val="both"/>
        <w:rPr>
          <w:bCs/>
          <w:lang w:val="vi-VN"/>
        </w:rPr>
      </w:pPr>
      <w:r w:rsidRPr="00086837">
        <w:rPr>
          <w:bCs/>
          <w:lang w:val="vi-VN"/>
        </w:rPr>
        <w:t>- Đối với dân tộc, tôn giáo:</w:t>
      </w:r>
    </w:p>
    <w:p w14:paraId="6864564E" w14:textId="77777777" w:rsidR="00F33B58" w:rsidRPr="00086837" w:rsidRDefault="00F33B58" w:rsidP="002E638F">
      <w:pPr>
        <w:spacing w:before="60" w:line="269" w:lineRule="auto"/>
        <w:ind w:firstLine="720"/>
        <w:jc w:val="both"/>
        <w:rPr>
          <w:bCs/>
          <w:lang w:val="vi-VN"/>
        </w:rPr>
      </w:pPr>
      <w:r w:rsidRPr="00941C49">
        <w:rPr>
          <w:bCs/>
          <w:color w:val="FF0000"/>
          <w:lang w:val="vi-VN"/>
        </w:rPr>
        <w:t>Chính sách không nhắm đến</w:t>
      </w:r>
      <w:r w:rsidRPr="00086837">
        <w:rPr>
          <w:bCs/>
          <w:lang w:val="vi-VN"/>
        </w:rPr>
        <w:t xml:space="preserve"> bất kỳ nhóm dân tộc hoặc tôn giáo cụ thể nào. Việt Nam có 54 dân tộc và nhiều tổ chức tôn giáo được công nhận hoạt động hợp pháp. Việc luật hóa cơ chế kiểm soát dựa trên tiêu chí rủi ro khách quan giúp bảo đảm nguyên tắc bình đẳng trước pháp luật, tránh tình trạng áp dụng tùy nghi ở địa phương. Nếu thiếu khung pháp lý thống nhất, cơ chế phối hợp hành chính linh hoạt có thể dẫn đến cách hiểu và áp dụng khác nhau, dễ gây hiểu lầm hoặc thiếu niềm tin xã hội. Luật hóa giúp minh bạch hóa tiêu chí kiểm soát, qua đó củng cố sự đồng thuận và ổn định xã hội.</w:t>
      </w:r>
    </w:p>
    <w:p w14:paraId="6C4FD330" w14:textId="77777777" w:rsidR="00F33B58" w:rsidRPr="00086837" w:rsidRDefault="00F33B58" w:rsidP="002E638F">
      <w:pPr>
        <w:spacing w:before="60" w:line="269" w:lineRule="auto"/>
        <w:ind w:firstLine="720"/>
        <w:jc w:val="both"/>
        <w:rPr>
          <w:bCs/>
          <w:lang w:val="vi-VN"/>
        </w:rPr>
      </w:pPr>
      <w:r w:rsidRPr="00086837">
        <w:rPr>
          <w:bCs/>
          <w:lang w:val="vi-VN"/>
        </w:rPr>
        <w:t>- Đối với văn hóa, giáo dục:</w:t>
      </w:r>
    </w:p>
    <w:p w14:paraId="4D65C502" w14:textId="77777777" w:rsidR="00F33B58" w:rsidRPr="00086837" w:rsidRDefault="00F33B58" w:rsidP="002E638F">
      <w:pPr>
        <w:spacing w:before="60" w:line="269" w:lineRule="auto"/>
        <w:ind w:firstLine="720"/>
        <w:jc w:val="both"/>
        <w:rPr>
          <w:bCs/>
          <w:lang w:val="vi-VN"/>
        </w:rPr>
      </w:pPr>
      <w:r w:rsidRPr="00086837">
        <w:rPr>
          <w:bCs/>
          <w:lang w:val="vi-VN"/>
        </w:rPr>
        <w:t xml:space="preserve">Việt Nam hiện có hơn 240 cơ sở giáo dục đại học, trong đó nhiều trường đào tạo và nghiên cứu trong các lĩnh vực hóa học, sinh học, vật lý hạt nhân và công nghệ cao. Luật hóa cơ chế kiểm soát nghiên cứu lưỡng dụng sẽ thúc đẩy việc xây dựng chuẩn mực đạo đức khoa học, nâng cao nhận thức về an toàn sinh học và trách nhiệm xã hội của nhà khoa học. Việc lồng ghép nội dung tuân thủ </w:t>
      </w:r>
      <w:r w:rsidRPr="00086837">
        <w:rPr>
          <w:bCs/>
          <w:lang w:val="vi-VN"/>
        </w:rPr>
        <w:lastRenderedPageBreak/>
        <w:t>pháp luật quốc tế và quản trị rủi ro vào chương trình đào tạo sẽ góp phần hình thành văn hóa tuân thủ trong thế hệ chuyên gia tương lai. Tuy nhiên, cần bảo đảm rằng cơ chế quản lý không làm cản trở hợp tác nghiên cứu quốc tế hoặc đổi mới sáng tạo hợp pháp.</w:t>
      </w:r>
    </w:p>
    <w:p w14:paraId="5443BF35" w14:textId="77777777" w:rsidR="00F33B58" w:rsidRPr="00086837" w:rsidRDefault="00F33B58" w:rsidP="002E638F">
      <w:pPr>
        <w:spacing w:before="60" w:line="269" w:lineRule="auto"/>
        <w:ind w:firstLine="720"/>
        <w:jc w:val="both"/>
        <w:rPr>
          <w:bCs/>
          <w:lang w:val="vi-VN"/>
        </w:rPr>
      </w:pPr>
      <w:r w:rsidRPr="00086837">
        <w:rPr>
          <w:bCs/>
          <w:lang w:val="vi-VN"/>
        </w:rPr>
        <w:t>- Đối với y tế:</w:t>
      </w:r>
    </w:p>
    <w:p w14:paraId="460B3A28" w14:textId="77777777" w:rsidR="00F33B58" w:rsidRPr="00086837" w:rsidRDefault="00F33B58" w:rsidP="002E638F">
      <w:pPr>
        <w:spacing w:before="60" w:line="269" w:lineRule="auto"/>
        <w:ind w:firstLine="720"/>
        <w:jc w:val="both"/>
        <w:rPr>
          <w:bCs/>
          <w:lang w:val="vi-VN"/>
        </w:rPr>
      </w:pPr>
      <w:r w:rsidRPr="00086837">
        <w:rPr>
          <w:bCs/>
          <w:lang w:val="vi-VN"/>
        </w:rPr>
        <w:t>Trong lĩnh vực y tế, đặc biệt là quản lý sinh phẩm và phòng thí nghiệm an toàn sinh học, việc luật hóa có tác động tích cực về phòng ngừa rủi ro. Việt Nam có hàng nghìn cơ sở xét nghiệm và phòng thí nghiệm ở các cấp. Việc tăng cường kiểm soát vật liệu sinh học nguy hiểm giúp giảm nguy cơ thất thoát hoặc sử dụng sai mục đích. Chi phí khắc phục một sự cố sinh học quy mô trung bình theo ước tính quốc tế có thể lên tới hàng trăm triệu USD, bao gồm chi phí y tế, xử lý môi trường và thiệt hại kinh tế gián tiếp. So với chi phí đầu tư phòng ngừa, lợi ích dài hạn là rất rõ ràng.</w:t>
      </w:r>
    </w:p>
    <w:p w14:paraId="37C2EB92" w14:textId="77777777" w:rsidR="00F33B58" w:rsidRPr="00086837" w:rsidRDefault="00F33B58" w:rsidP="002E638F">
      <w:pPr>
        <w:spacing w:before="60" w:line="269" w:lineRule="auto"/>
        <w:ind w:firstLine="720"/>
        <w:jc w:val="both"/>
        <w:rPr>
          <w:bCs/>
          <w:lang w:val="vi-VN"/>
        </w:rPr>
      </w:pPr>
      <w:r w:rsidRPr="00086837">
        <w:rPr>
          <w:bCs/>
          <w:lang w:val="vi-VN"/>
        </w:rPr>
        <w:t>- Đối với môi trường:</w:t>
      </w:r>
    </w:p>
    <w:p w14:paraId="4BD40E1D" w14:textId="77777777" w:rsidR="00F33B58" w:rsidRPr="00086837" w:rsidRDefault="00F33B58" w:rsidP="002E638F">
      <w:pPr>
        <w:spacing w:before="60" w:line="269" w:lineRule="auto"/>
        <w:ind w:firstLine="720"/>
        <w:jc w:val="both"/>
        <w:rPr>
          <w:bCs/>
          <w:lang w:val="vi-VN"/>
        </w:rPr>
      </w:pPr>
      <w:r w:rsidRPr="00086837">
        <w:rPr>
          <w:bCs/>
          <w:lang w:val="vi-VN"/>
        </w:rPr>
        <w:t>Việc kiểm soát hóa chất độc hại và vật liệu phóng xạ giúp giảm nguy cơ ô nhiễm môi trường nghiêm trọng. Các sự cố rò rỉ hóa chất lớn có thể kéo dài nhiều năm, gây thiệt hại về hệ sinh thái và ngân sách nhà nước. Đầu tư vào cơ chế pháp lý phòng ngừa giúp giảm thiểu nguy cơ này và phù hợp với mục tiêu phát triển bền vững.</w:t>
      </w:r>
    </w:p>
    <w:p w14:paraId="212E52B7" w14:textId="77777777" w:rsidR="00F33B58" w:rsidRPr="00086837" w:rsidRDefault="00F33B58" w:rsidP="002E638F">
      <w:pPr>
        <w:spacing w:before="60" w:line="269" w:lineRule="auto"/>
        <w:ind w:firstLine="720"/>
        <w:jc w:val="both"/>
        <w:rPr>
          <w:bCs/>
          <w:lang w:val="vi-VN"/>
        </w:rPr>
      </w:pPr>
      <w:r w:rsidRPr="00086837">
        <w:rPr>
          <w:bCs/>
          <w:lang w:val="vi-VN"/>
        </w:rPr>
        <w:t>- Đối với quốc phòng, an ninh:</w:t>
      </w:r>
    </w:p>
    <w:p w14:paraId="09280AB4" w14:textId="77777777" w:rsidR="00F33B58" w:rsidRPr="00086837" w:rsidRDefault="00F33B58" w:rsidP="002E638F">
      <w:pPr>
        <w:spacing w:before="60" w:line="269" w:lineRule="auto"/>
        <w:ind w:firstLine="720"/>
        <w:jc w:val="both"/>
        <w:rPr>
          <w:bCs/>
          <w:lang w:val="vi-VN"/>
        </w:rPr>
      </w:pPr>
      <w:r w:rsidRPr="00086837">
        <w:rPr>
          <w:bCs/>
          <w:lang w:val="vi-VN"/>
        </w:rPr>
        <w:t>Tác động tích cực thể hiện rõ nhất ở lĩnh vực quốc phòng – an ninh. Việc nội luật hóa nghĩa vụ theo Nghị quyết 1540 của United Nations Security Council và các điều ước như Hiệp ước Không phổ biến vũ khí hạt nhân, Công ước Cấm vũ khí sinh học và Công ước Cấm vũ khí hóa học giúp nâng cao năng lực phát hiện, ngăn chặn và xử lý nguy cơ phổ biến trái phép. Trong bối cảnh thương mại ước đạt gần 1.000 tỷ USD mỗi năm, chỉ một vụ việc vi phạm nghiêm trọng cũng có thể ảnh hưởng đáng kể đến uy tín quốc gia và môi trường đầu tư. Vì vậy, Luật đóng vai trò như “hàng rào phòng ngừa chiến lược” cho an ninh quốc gia.</w:t>
      </w:r>
    </w:p>
    <w:p w14:paraId="602F5529" w14:textId="77777777" w:rsidR="00F33B58" w:rsidRPr="00086837" w:rsidRDefault="00F33B58" w:rsidP="002E638F">
      <w:pPr>
        <w:spacing w:before="60" w:line="269" w:lineRule="auto"/>
        <w:ind w:firstLine="720"/>
        <w:jc w:val="both"/>
        <w:rPr>
          <w:bCs/>
          <w:lang w:val="vi-VN"/>
        </w:rPr>
      </w:pPr>
      <w:r w:rsidRPr="00086837">
        <w:rPr>
          <w:bCs/>
          <w:lang w:val="vi-VN"/>
        </w:rPr>
        <w:t>- Đối với phân cấp, phân quyền:</w:t>
      </w:r>
    </w:p>
    <w:p w14:paraId="12E2E176" w14:textId="77777777" w:rsidR="00F33B58" w:rsidRPr="00086837" w:rsidRDefault="00F33B58" w:rsidP="002E638F">
      <w:pPr>
        <w:spacing w:before="60" w:line="269" w:lineRule="auto"/>
        <w:ind w:firstLine="720"/>
        <w:jc w:val="both"/>
        <w:rPr>
          <w:bCs/>
          <w:lang w:val="vi-VN"/>
        </w:rPr>
      </w:pPr>
      <w:r w:rsidRPr="00086837">
        <w:rPr>
          <w:bCs/>
          <w:lang w:val="vi-VN"/>
        </w:rPr>
        <w:t xml:space="preserve">Luật sẽ làm rõ thẩm quyền giữa trung ương và địa phương trong cấp phép, kiểm tra và xử lý vi phạm. Điều này giảm tình trạng đùn đẩy trách nhiệm và bảo đảm áp dụng thống nhất trên toàn quốc. </w:t>
      </w:r>
    </w:p>
    <w:p w14:paraId="24F01DFF" w14:textId="77777777" w:rsidR="00F33B58" w:rsidRPr="00086837" w:rsidRDefault="00F33B58" w:rsidP="002E638F">
      <w:pPr>
        <w:spacing w:before="60" w:line="269" w:lineRule="auto"/>
        <w:ind w:firstLine="720"/>
        <w:jc w:val="both"/>
        <w:rPr>
          <w:bCs/>
          <w:lang w:val="vi-VN"/>
        </w:rPr>
      </w:pPr>
      <w:r w:rsidRPr="00086837">
        <w:rPr>
          <w:bCs/>
          <w:lang w:val="vi-VN"/>
        </w:rPr>
        <w:t>- Đối với khoa học, công nghệ, đổi mới sáng tạo và chuyển đổi số:</w:t>
      </w:r>
    </w:p>
    <w:p w14:paraId="2ABB86F8" w14:textId="77777777" w:rsidR="00F33B58" w:rsidRPr="00086837" w:rsidRDefault="00F33B58" w:rsidP="002E638F">
      <w:pPr>
        <w:spacing w:before="60" w:line="269" w:lineRule="auto"/>
        <w:ind w:firstLine="720"/>
        <w:jc w:val="both"/>
        <w:rPr>
          <w:bCs/>
          <w:lang w:val="vi-VN"/>
        </w:rPr>
      </w:pPr>
      <w:r w:rsidRPr="00086837">
        <w:rPr>
          <w:bCs/>
          <w:lang w:val="vi-VN"/>
        </w:rPr>
        <w:t xml:space="preserve">Luật là nền tảng pháp lý để xây dựng cơ sở dữ liệu liên ngành và tích hợp quy trình cấp phép trên nền tảng số. Đầu tư ban đầu cho hạ tầng công nghệ thông tin có thể tương đối lớn, nhưng lợi ích lâu dài bao gồm giảm thủ tục giấy tờ, tăng tốc độ xử lý và nâng cao năng lực phân tích rủi ro tự động. Điều này </w:t>
      </w:r>
      <w:r w:rsidRPr="00086837">
        <w:rPr>
          <w:bCs/>
          <w:lang w:val="vi-VN"/>
        </w:rPr>
        <w:lastRenderedPageBreak/>
        <w:t>phù hợp với chiến lược chuyển đổi số quốc gia và nâng cao hiệu quả quản trị nhà nước trong bối cảnh kinh tế số ngày càng phát triển.</w:t>
      </w:r>
    </w:p>
    <w:p w14:paraId="7735AEEF" w14:textId="77777777" w:rsidR="00F33B58" w:rsidRPr="00086837" w:rsidRDefault="00F33B58" w:rsidP="002E638F">
      <w:pPr>
        <w:spacing w:before="60" w:line="269" w:lineRule="auto"/>
        <w:ind w:firstLine="720"/>
        <w:jc w:val="both"/>
        <w:rPr>
          <w:bCs/>
          <w:lang w:val="vi-VN"/>
        </w:rPr>
      </w:pPr>
      <w:r w:rsidRPr="00086837">
        <w:rPr>
          <w:bCs/>
          <w:lang w:val="vi-VN"/>
        </w:rPr>
        <w:t xml:space="preserve">- Đối với các nội dung khác của kinh tế </w:t>
      </w:r>
      <w:r>
        <w:rPr>
          <w:bCs/>
        </w:rPr>
        <w:t xml:space="preserve">- </w:t>
      </w:r>
      <w:r w:rsidRPr="00086837">
        <w:rPr>
          <w:bCs/>
          <w:lang w:val="vi-VN"/>
        </w:rPr>
        <w:t>xã hội:</w:t>
      </w:r>
    </w:p>
    <w:p w14:paraId="6184F4AB" w14:textId="4ABA76C1" w:rsidR="00F33B58" w:rsidRPr="00086837" w:rsidRDefault="00F33B58" w:rsidP="002E638F">
      <w:pPr>
        <w:spacing w:before="60" w:line="269" w:lineRule="auto"/>
        <w:ind w:firstLine="720"/>
        <w:jc w:val="both"/>
        <w:rPr>
          <w:bCs/>
          <w:lang w:val="vi-VN"/>
        </w:rPr>
      </w:pPr>
      <w:r w:rsidRPr="00086837">
        <w:rPr>
          <w:bCs/>
          <w:lang w:val="vi-VN"/>
        </w:rPr>
        <w:t>Ở tầm vĩ mô, Luật góp phần củng cố niềm tin của nhà đầu tư, tăng khả năng tiếp cận hỗ trợ kỹ thuật quốc tế và giảm nguy cơ bị áp dụng biện pháp kiểm soát thương mại bổ sung từ đối tác. Với quy mô thương mại ước đạt gần 1.000 tỷ USD và hơn 900.000 doanh nghiệp hoạt động, lợi ích phòng ngừa rủi ro hệ thống và nâng cao ổn định th</w:t>
      </w:r>
      <w:r w:rsidR="00BD588B">
        <w:rPr>
          <w:bCs/>
          <w:lang w:val="vi-VN"/>
        </w:rPr>
        <w:t>ể chế mang lại giá trị kinh tế -</w:t>
      </w:r>
      <w:r w:rsidRPr="00086837">
        <w:rPr>
          <w:bCs/>
          <w:lang w:val="vi-VN"/>
        </w:rPr>
        <w:t xml:space="preserve"> xã hội vượt trội so với chi phí thực thi ban đầu.</w:t>
      </w:r>
    </w:p>
    <w:p w14:paraId="44AB290D" w14:textId="77777777" w:rsidR="00F33B58" w:rsidRPr="00086837" w:rsidRDefault="00F33B58" w:rsidP="002E638F">
      <w:pPr>
        <w:spacing w:before="60" w:line="269" w:lineRule="auto"/>
        <w:ind w:firstLine="720"/>
        <w:jc w:val="both"/>
        <w:rPr>
          <w:bCs/>
          <w:lang w:val="vi-VN"/>
        </w:rPr>
      </w:pPr>
      <w:r w:rsidRPr="00086837">
        <w:rPr>
          <w:bCs/>
          <w:lang w:val="vi-VN"/>
        </w:rPr>
        <w:t>c) Tác động về giới</w:t>
      </w:r>
    </w:p>
    <w:p w14:paraId="7552A4E5" w14:textId="77777777" w:rsidR="00F33B58" w:rsidRPr="00086837" w:rsidRDefault="00F33B58" w:rsidP="002E638F">
      <w:pPr>
        <w:spacing w:before="60" w:line="269" w:lineRule="auto"/>
        <w:ind w:firstLine="720"/>
        <w:jc w:val="both"/>
        <w:rPr>
          <w:bCs/>
          <w:lang w:val="vi-VN"/>
        </w:rPr>
      </w:pPr>
      <w:r w:rsidRPr="00086837">
        <w:rPr>
          <w:bCs/>
          <w:lang w:val="vi-VN"/>
        </w:rPr>
        <w:t>Giải pháp này không trực tiếp điều chỉnh các quan hệ xã hội theo giới tính và không làm phát sinh sự phân biệt về quyền, nghĩa vụ giữa nam và nữ. Do đó, tác động trực tiếp về giới là trung tính. Tuy nhiên, việc thiết lập khuôn khổ pháp lý minh bạch và ràng buộc cao tạo điều kiện để lồng ghép hiệu quả yêu cầu bình đẳng giới trong tổ chức thực hiện, đặc biệt trong công tác đào tạo, bồi dưỡng, bố trí và sử dụng nguồn nhân lực tham gia hoạt động chuyên sâu, phối hợp liên ngành và hợp tác quốc tế. Nếu được triển khai phù hợp, luật có thể góp phần thúc đẩy cơ hội tiếp cận bình đẳng trong các vị trí chuyên môn cao.</w:t>
      </w:r>
    </w:p>
    <w:p w14:paraId="7E8CE8D6" w14:textId="77777777" w:rsidR="00F33B58" w:rsidRPr="00086837" w:rsidRDefault="00F33B58" w:rsidP="002E638F">
      <w:pPr>
        <w:spacing w:before="60" w:line="269" w:lineRule="auto"/>
        <w:ind w:firstLine="720"/>
        <w:jc w:val="both"/>
        <w:rPr>
          <w:bCs/>
          <w:lang w:val="vi-VN"/>
        </w:rPr>
      </w:pPr>
      <w:r w:rsidRPr="00086837">
        <w:rPr>
          <w:bCs/>
          <w:lang w:val="vi-VN"/>
        </w:rPr>
        <w:t>d) Tác động của thủ tục hành chính</w:t>
      </w:r>
    </w:p>
    <w:p w14:paraId="7ECD5F7C" w14:textId="68CA14DF" w:rsidR="00F33B58" w:rsidRPr="00086837" w:rsidRDefault="00F33B58" w:rsidP="002E638F">
      <w:pPr>
        <w:spacing w:before="60" w:line="269" w:lineRule="auto"/>
        <w:ind w:firstLine="720"/>
        <w:jc w:val="both"/>
        <w:rPr>
          <w:bCs/>
          <w:lang w:val="vi-VN"/>
        </w:rPr>
      </w:pPr>
      <w:r w:rsidRPr="00086837">
        <w:rPr>
          <w:bCs/>
          <w:lang w:val="vi-VN"/>
        </w:rPr>
        <w:t xml:space="preserve">Việc ban hành Luật tạo cơ sở pháp lý để chuẩn hóa, minh bạch hóa quy trình giải quyết thủ tục hành chính thông qua việc xác định rõ thẩm quyền, trách nhiệm và cơ chế phối hợp giữa các cơ quan. Trong bối cảnh Việt Nam hiện có trên 6.300 thủ tục hành chính đang được công bố trên Cơ sở dữ liệu quốc gia về thủ tục hành chính (theo Văn phòng Chính phủ, năm 2024), nhiều thủ tục liên quan đến kiểm soát hàng hóa lưỡng dụng, hóa chất, vật liệu phóng xạ, sinh phẩm… đang được điều chỉnh phân tán ở các lĩnh vực hải quan, công thương, khoa học </w:t>
      </w:r>
      <w:r w:rsidR="004739EE">
        <w:rPr>
          <w:bCs/>
        </w:rPr>
        <w:t>-</w:t>
      </w:r>
      <w:r w:rsidRPr="00086837">
        <w:rPr>
          <w:bCs/>
          <w:lang w:val="vi-VN"/>
        </w:rPr>
        <w:t xml:space="preserve"> công nghệ, y tế, tài chính. Sự phân tán này làm phát sinh nguy cơ yêu cầu hồ sơ trùng lặp hoặc phải lấy ý kiến qua nhiều tầng nấc trung gian.</w:t>
      </w:r>
    </w:p>
    <w:p w14:paraId="27D52118" w14:textId="77777777" w:rsidR="00F33B58" w:rsidRPr="00086837" w:rsidRDefault="00F33B58" w:rsidP="002E638F">
      <w:pPr>
        <w:spacing w:before="60" w:line="269" w:lineRule="auto"/>
        <w:ind w:firstLine="720"/>
        <w:jc w:val="both"/>
        <w:rPr>
          <w:bCs/>
          <w:lang w:val="vi-VN"/>
        </w:rPr>
      </w:pPr>
      <w:r w:rsidRPr="00086837">
        <w:rPr>
          <w:bCs/>
          <w:lang w:val="vi-VN"/>
        </w:rPr>
        <w:t>Với quy mô thương mại quốc tế năm 2025 ước đạt khoảng 920 tỷ USD và hơn 14 triệu tờ khai hải quan mỗi năm (số liệu công bố của cơ quan hải quan), chỉ cần 5% số lô hàng liên quan đến nhóm hàng hóa có nguy cơ lưỡng dụng phải trải qua quy trình xác minh kéo dài thêm 1–2 ngày do thiếu cơ chế điều phối thống nhất, thì chi phí phát sinh cho doanh nghiệp và xã hội là rất đáng kể. Theo ước tính của Ngân hàng Thế giới trong các nghiên cứu về thuận lợi hóa thương mại, chi phí thời gian thông quan có thể chiếm từ 0,5%–1,5% giá trị hàng hóa đối với các nền kinh tế đang phát triển. Nếu rút ngắn được 10% thời gian xử lý nhờ chuẩn hóa quy trình và chia sẻ dữ liệu liên thông, lợi ích tiết kiệm chi phí có thể đạt hàng chục triệu USD mỗi năm.</w:t>
      </w:r>
    </w:p>
    <w:p w14:paraId="366351BD" w14:textId="77777777" w:rsidR="00F33B58" w:rsidRPr="00086837" w:rsidRDefault="00F33B58" w:rsidP="002E638F">
      <w:pPr>
        <w:spacing w:before="60" w:line="269" w:lineRule="auto"/>
        <w:ind w:firstLine="720"/>
        <w:jc w:val="both"/>
        <w:rPr>
          <w:bCs/>
          <w:lang w:val="vi-VN"/>
        </w:rPr>
      </w:pPr>
      <w:r w:rsidRPr="00086837">
        <w:rPr>
          <w:bCs/>
          <w:lang w:val="vi-VN"/>
        </w:rPr>
        <w:lastRenderedPageBreak/>
        <w:t>Việc luật hóa phân cấp, phân quyền cũng có ý nghĩa lớn về mặt cải cách hành chính. Hiện nay, một số thủ tục cấp phép liên quan đến hàng hóa chiến lược hoặc hóa chất đặc thù vẫn tập trung xử lý ở cơ quan trung ương, dẫn đến tình trạng quá tải cục bộ. Theo báo cáo cải cách hành chính giai đoạn 2021–2023, tỷ lệ hồ sơ giải quyết đúng hạn ở cấp trung ương dao động khoảng 95–97%, song khối lượng hồ sơ tồn đọng tăng vào các thời điểm cao điểm xuất nhập khẩu. Khi Luật quy định rõ thẩm quyền và điều kiện phân cấp, các bộ, ngành và địa phương có thể chủ động xử lý các hồ sơ thông thường, giảm áp lực cho cơ quan trung ương và rút ngắn thời gian giải quyết.</w:t>
      </w:r>
    </w:p>
    <w:p w14:paraId="1B438618" w14:textId="77777777" w:rsidR="00F33B58" w:rsidRPr="00086837" w:rsidRDefault="00F33B58" w:rsidP="002E638F">
      <w:pPr>
        <w:spacing w:before="60" w:line="269" w:lineRule="auto"/>
        <w:ind w:firstLine="720"/>
        <w:jc w:val="both"/>
        <w:rPr>
          <w:bCs/>
          <w:lang w:val="vi-VN"/>
        </w:rPr>
      </w:pPr>
      <w:r w:rsidRPr="00086837">
        <w:rPr>
          <w:bCs/>
          <w:lang w:val="vi-VN"/>
        </w:rPr>
        <w:t>Tác động tích cực còn thể hiện ở việc tạo tiền đề pháp lý cho chuyển đổi số. Theo Bộ Thông tin và Truyền thông, đến năm 2024, tỷ lệ dịch vụ công trực tuyến toàn trình đạt trên 50% tổng số thủ tục hành chính; tuy nhiên, mức độ sử dụng thực tế vẫn chưa đồng đều do thiếu liên thông dữ liệu giữa các hệ thống chuyên ngành. Luật cho phép xây dựng cơ sở dữ liệu dùng chung và cơ chế chia sẻ dữ liệu liên ngành, giúp giảm yêu cầu nộp lại các giấy tờ đã có trong hệ thống. Nếu mỗi hồ sơ giảm được trung bình 2–3 loại giấy tờ phải nộp lặp lại và tiết kiệm khoảng 30–60 phút xử lý cho cả cán bộ và doanh nghiệp, thì với hàng trăm nghìn hồ sơ mỗi năm, tổng thời gian xã hội tiết kiệm được là rất lớn.</w:t>
      </w:r>
    </w:p>
    <w:p w14:paraId="087C16AC" w14:textId="77777777" w:rsidR="00F33B58" w:rsidRPr="00086837" w:rsidRDefault="00F33B58" w:rsidP="002E638F">
      <w:pPr>
        <w:spacing w:before="60" w:line="269" w:lineRule="auto"/>
        <w:ind w:firstLine="720"/>
        <w:jc w:val="both"/>
        <w:rPr>
          <w:bCs/>
          <w:lang w:val="vi-VN"/>
        </w:rPr>
      </w:pPr>
      <w:r w:rsidRPr="00086837">
        <w:rPr>
          <w:bCs/>
          <w:lang w:val="vi-VN"/>
        </w:rPr>
        <w:t>Ngoài ra, việc số hóa quy trình và xây dựng hệ thống quản trị rủi ro tập trung còn giúp tăng khả năng giám sát và truy xuất nguồn gốc xử lý hồ sơ. Điều này góp phần nâng cao chỉ số minh bạch và cải thiện các chỉ số môi trường kinh doanh. Theo đánh giá quốc tế, mỗi 1 điểm cải thiện trong chỉ số hiệu quả quản trị và minh bạch có thể góp phần tăng thêm 0,3–0,5 điểm phần trăm tăng trưởng đầu tư trực tiếp nước ngoài trong trung hạn.</w:t>
      </w:r>
    </w:p>
    <w:p w14:paraId="1B7E70B2" w14:textId="43D95F4A" w:rsidR="00F33B58" w:rsidRPr="00086837" w:rsidRDefault="00F33B58" w:rsidP="002E638F">
      <w:pPr>
        <w:spacing w:before="60" w:line="269" w:lineRule="auto"/>
        <w:ind w:firstLine="720"/>
        <w:jc w:val="both"/>
        <w:rPr>
          <w:bCs/>
          <w:lang w:val="vi-VN"/>
        </w:rPr>
      </w:pPr>
      <w:r w:rsidRPr="00086837">
        <w:rPr>
          <w:bCs/>
          <w:lang w:val="vi-VN"/>
        </w:rPr>
        <w:t>Tuy nhiên, trong giai đoạn đầu triển khai, chi phí chuyển đổi là hiện hữu. Việc rà soát, sửa đổi văn bản hướng dẫn và chuẩn hóa quy trình nội bộ có thể làm tăng khối lượng công việc hành chính trong 1–2 năm đầu. Các cơ quan phải đầu tư xây dựng hoặc nâng cấp hạ tầng công nghệ thông tin, đào tạo cán bộ và thiết lập cơ chế báo cáo thống nhất. Chi phí đầu tư hệ thống cơ sở dữ liệu và nền tảng số hóa cấp quốc gia trong các lĩnh vực tương tự thường dao động từ vài chục đến hàng trăm tỷ đồng tùy quy mô. Đồng thời, việc thiết lập chế độ báo cáo v</w:t>
      </w:r>
      <w:r w:rsidR="001E728E">
        <w:rPr>
          <w:bCs/>
          <w:lang w:val="vi-VN"/>
        </w:rPr>
        <w:t>à lưu trữ mới có thể làm tăng 5-</w:t>
      </w:r>
      <w:r w:rsidRPr="00086837">
        <w:rPr>
          <w:bCs/>
          <w:lang w:val="vi-VN"/>
        </w:rPr>
        <w:t>10% khối lượng công việc hành chính trong giai đoạn đầu.</w:t>
      </w:r>
    </w:p>
    <w:p w14:paraId="5CB61695" w14:textId="77777777" w:rsidR="00F33B58" w:rsidRPr="00086837" w:rsidRDefault="00F33B58" w:rsidP="002E638F">
      <w:pPr>
        <w:spacing w:before="60" w:line="269" w:lineRule="auto"/>
        <w:ind w:firstLine="720"/>
        <w:jc w:val="both"/>
        <w:rPr>
          <w:bCs/>
          <w:lang w:val="vi-VN"/>
        </w:rPr>
      </w:pPr>
      <w:r w:rsidRPr="00086837">
        <w:rPr>
          <w:bCs/>
          <w:lang w:val="vi-VN"/>
        </w:rPr>
        <w:t xml:space="preserve">Tuy vậy, các nghiên cứu về cải cách thủ tục hành chính cho thấy chi phí chuyển đổi thường giảm mạnh sau khi hệ thống đi vào vận hành ổn định từ năm thứ ba trở đi. Khi dữ liệu đã được chuẩn hóa và quy trình được tự động hóa một phần, chi phí xử lý mỗi hồ sơ có thể giảm 15–30% so với mô hình thủ công trước đây. Do đó, xét trong chu kỳ trung và dài hạn, lợi ích tiết kiệm chi phí xã </w:t>
      </w:r>
      <w:r w:rsidRPr="00086837">
        <w:rPr>
          <w:bCs/>
          <w:lang w:val="vi-VN"/>
        </w:rPr>
        <w:lastRenderedPageBreak/>
        <w:t>hội, giảm thời gian xử lý và nâng cao chất lượng phục vụ vượt trội so với chi phí đầu tư ban đầu.</w:t>
      </w:r>
    </w:p>
    <w:p w14:paraId="508D3BA1" w14:textId="77777777" w:rsidR="00F33B58" w:rsidRPr="00086837" w:rsidRDefault="00F33B58" w:rsidP="002E638F">
      <w:pPr>
        <w:spacing w:before="60" w:line="269" w:lineRule="auto"/>
        <w:ind w:firstLine="720"/>
        <w:jc w:val="both"/>
        <w:rPr>
          <w:bCs/>
          <w:lang w:val="vi-VN"/>
        </w:rPr>
      </w:pPr>
      <w:r w:rsidRPr="00086837">
        <w:rPr>
          <w:bCs/>
          <w:lang w:val="vi-VN"/>
        </w:rPr>
        <w:t xml:space="preserve">Xét về tổng thể, tác động đối với thủ tục hành chính mang tính “chi phí ngắn hạn </w:t>
      </w:r>
      <w:r w:rsidRPr="00086837">
        <w:rPr>
          <w:bCs/>
        </w:rPr>
        <w:t>-</w:t>
      </w:r>
      <w:r w:rsidRPr="00086837">
        <w:rPr>
          <w:bCs/>
          <w:lang w:val="vi-VN"/>
        </w:rPr>
        <w:t xml:space="preserve"> lợi ích dài hạn”: chi phí tăng trong giai đoạn chuyển tiếp do điều chỉnh hệ thống, nhưng về trung hạn và dài hạn sẽ góp phần tinh gọn quy trình, giảm trùng lặp, tăng minh bạch và nâng cao hiệu quả quản trị nhà nước trên phạm vi toàn quốc.</w:t>
      </w:r>
    </w:p>
    <w:p w14:paraId="55355FBC" w14:textId="77777777" w:rsidR="00F33B58" w:rsidRPr="00086837" w:rsidRDefault="00F33B58" w:rsidP="002E638F">
      <w:pPr>
        <w:spacing w:before="60" w:line="269" w:lineRule="auto"/>
        <w:ind w:firstLine="720"/>
        <w:jc w:val="both"/>
        <w:rPr>
          <w:lang w:val="vi-VN"/>
        </w:rPr>
      </w:pPr>
      <w:r w:rsidRPr="00086837">
        <w:rPr>
          <w:lang w:val="vi-VN"/>
        </w:rPr>
        <w:t>3.3. Giải pháp tối ưu được lựa chọn và lý do lựa chọn giải pháp</w:t>
      </w:r>
    </w:p>
    <w:p w14:paraId="7BA69DBD" w14:textId="548DE046" w:rsidR="00F33B58" w:rsidRPr="00D15D7E" w:rsidRDefault="00D15D7E" w:rsidP="002E638F">
      <w:pPr>
        <w:spacing w:before="60" w:line="269" w:lineRule="auto"/>
        <w:ind w:firstLine="720"/>
        <w:jc w:val="both"/>
        <w:rPr>
          <w:b/>
          <w:bCs/>
          <w:color w:val="000000"/>
        </w:rPr>
      </w:pPr>
      <w:r w:rsidRPr="00B7675F">
        <w:rPr>
          <w:bCs/>
          <w:color w:val="000000"/>
        </w:rPr>
        <w:t>Trên cơ sở đối chiếu tác động của ha</w:t>
      </w:r>
      <w:r>
        <w:rPr>
          <w:bCs/>
          <w:color w:val="000000"/>
        </w:rPr>
        <w:t>i giải pháp theo các tiêu chí: M</w:t>
      </w:r>
      <w:r w:rsidRPr="00B7675F">
        <w:rPr>
          <w:bCs/>
          <w:color w:val="000000"/>
        </w:rPr>
        <w:t xml:space="preserve">ức độ giải quyết vấn đề, tính hợp hiến, tính thống nhất và đồng bộ của hệ thống pháp luật, hiệu lực quản lý theo rủi ro và tính khả thi tổ chức thực hiện, </w:t>
      </w:r>
      <w:r>
        <w:rPr>
          <w:bCs/>
          <w:color w:val="000000"/>
        </w:rPr>
        <w:t xml:space="preserve">Bộ Quốc phòng </w:t>
      </w:r>
      <w:r w:rsidRPr="00B7675F">
        <w:rPr>
          <w:bCs/>
          <w:color w:val="000000"/>
        </w:rPr>
        <w:t xml:space="preserve">lựa chọn Giải pháp 2 </w:t>
      </w:r>
      <w:r w:rsidRPr="00376966">
        <w:rPr>
          <w:bCs/>
          <w:i/>
          <w:color w:val="000000"/>
        </w:rPr>
        <w:t>“</w:t>
      </w:r>
      <w:r w:rsidR="001E728E" w:rsidRPr="00086837">
        <w:rPr>
          <w:i/>
          <w:iCs/>
          <w:lang w:val="vi-VN"/>
        </w:rPr>
        <w:t xml:space="preserve">Ban hành khung pháp lý ở cấp luật để thiết lập cơ chế tổ chức thực thi thống nhất, ổn định và cơ chế bảo đảm nguồn lực dài hạn cho phòng, chống phổ biến và tài trợ phổ biến </w:t>
      </w:r>
      <w:r w:rsidR="001E728E">
        <w:rPr>
          <w:i/>
          <w:iCs/>
          <w:lang w:val="vi-VN"/>
        </w:rPr>
        <w:t>vũ khí hủy diệt hàng loạt</w:t>
      </w:r>
      <w:r w:rsidRPr="00376966">
        <w:rPr>
          <w:i/>
        </w:rPr>
        <w:t>”</w:t>
      </w:r>
      <w:r w:rsidRPr="00B7675F">
        <w:rPr>
          <w:bCs/>
          <w:color w:val="000000"/>
        </w:rPr>
        <w:t xml:space="preserve"> là phương án tối ưu. </w:t>
      </w:r>
      <w:r w:rsidRPr="00FF63DD">
        <w:rPr>
          <w:b/>
          <w:bCs/>
          <w:color w:val="000000"/>
        </w:rPr>
        <w:t>Lý do:</w:t>
      </w:r>
    </w:p>
    <w:p w14:paraId="41FE51D3" w14:textId="77777777" w:rsidR="00F33B58" w:rsidRPr="00086837" w:rsidRDefault="00F33B58" w:rsidP="002E638F">
      <w:pPr>
        <w:spacing w:before="60" w:line="269" w:lineRule="auto"/>
        <w:jc w:val="both"/>
        <w:rPr>
          <w:lang w:val="vi-VN"/>
        </w:rPr>
      </w:pPr>
      <w:r w:rsidRPr="00086837">
        <w:rPr>
          <w:lang w:val="vi-VN"/>
        </w:rPr>
        <w:tab/>
        <w:t>Giải pháp 2 được xác định là phương án tối ưu vì đáp ứng đồng thời yêu cầu hoàn thiện thể chế, bảo đảm an ninh quốc gia và thực thi đầy đủ nghĩa vụ quốc tế trong bối cảnh mức độ hội nhập ngày càng sâu rộng. Trước hết, xét về phương diện pháp lý, hệ thống quy định hiện hành còn phân tán ở nhiều văn bản dưới luật, thiếu tính hệ thống và chưa thiết lập rõ cơ chế điều phối liên ngành mang tính ràng buộc cao. Cơ chế phối hợp chủ yếu dựa trên phân công hành chính, thiếu nền tảng pháp lý đủ mạnh để bảo đảm trách nhiệm giải trình và xử lý khi phát sinh khoảng trống hoặc chồng chéo. Việc luật hóa ở cấp luật sẽ tạo khuôn khổ pháp lý thống nhất, ổn định và có hiệu lực cao, cho phép quy định đầy đủ về thẩm quyền, trách nhiệm, cơ chế điều phối trung tâm, chế độ thông tin - báo cáo và nguyên tắc chia sẻ dữ liệu, qua đó nâng cao hiệu lực, hiệu quả quản lý nhà nước.</w:t>
      </w:r>
    </w:p>
    <w:p w14:paraId="5495D05C" w14:textId="77777777" w:rsidR="00F33B58" w:rsidRPr="00086837" w:rsidRDefault="00F33B58" w:rsidP="002E638F">
      <w:pPr>
        <w:spacing w:before="60" w:line="269" w:lineRule="auto"/>
        <w:ind w:firstLine="720"/>
        <w:jc w:val="both"/>
        <w:rPr>
          <w:lang w:val="vi-VN"/>
        </w:rPr>
      </w:pPr>
      <w:r w:rsidRPr="00086837">
        <w:rPr>
          <w:lang w:val="vi-VN"/>
        </w:rPr>
        <w:t>Thứ hai, xét về nghĩa vụ quốc tế, Việt Nam là thành viên của nhiều điều ước quan trọng trong lĩnh vực không phổ biến WMD và có trách nhiệm nội luật hóa đầy đủ các cam kết theo Nghị quyết 1540 của Hội đồng Bảo an Liên hợp quốc cũng như các điều ước như Hiệp ước Không phổ biến vũ khí hạt nhân, Công ước Cấm vũ khí sinh học và Công ước Cấm vũ khí hóa học. Việc ban hành luật riêng thể hiện cam kết chính trị mạnh mẽ, nâng cao uy tín quốc gia và tạo điều kiện thuận lợi để tiếp cận hỗ trợ kỹ thuật, đào tạo và hợp tác quốc tế.</w:t>
      </w:r>
    </w:p>
    <w:p w14:paraId="126748EB" w14:textId="77777777" w:rsidR="00F33B58" w:rsidRPr="00086837" w:rsidRDefault="00F33B58" w:rsidP="002E638F">
      <w:pPr>
        <w:spacing w:before="60" w:line="269" w:lineRule="auto"/>
        <w:ind w:firstLine="720"/>
        <w:jc w:val="both"/>
      </w:pPr>
      <w:r w:rsidRPr="00086837">
        <w:rPr>
          <w:lang w:val="vi-VN"/>
        </w:rPr>
        <w:t xml:space="preserve">Thứ ba, xét về lợi ích kinh tế - xã hội và an ninh, chi phí đầu tư ban đầu cho xây dựng và tổ chức thực thi luật là cần thiết nhưng mang tính ngắn hạn, trong khi lợi ích dài hạn về ổn định chính sách, giảm rủi ro pháp lý cho doanh nghiệp, phòng ngừa nguy cơ thiệt hại lớn do sự cố liên quan đến WMD là rất </w:t>
      </w:r>
      <w:r w:rsidRPr="00086837">
        <w:rPr>
          <w:lang w:val="vi-VN"/>
        </w:rPr>
        <w:lastRenderedPageBreak/>
        <w:t>đáng kể. Luật cũng tạo nền tảng pháp lý để thúc đẩy chuyển đổi số, xây dựng cơ sở dữ liệu liên thông và chuẩn hóa quy trình nghiệp vụ, từ đó giảm chi phí vận hành trong dài hạn. Vì vậy, trên cả ba phương diện: hoàn thiện thể chế, thực thi nghĩa vụ quốc tế và bảo đảm an ninh - phát triển bền vững, giải pháp xây dựng luật là lựa chọn có tính chiến lược, toàn diện và phù hợp nhất./.</w:t>
      </w:r>
    </w:p>
    <w:p w14:paraId="1F651DA4" w14:textId="77777777" w:rsidR="00F33B58" w:rsidRPr="00086837" w:rsidRDefault="00F33B58" w:rsidP="00F33B58">
      <w:pPr>
        <w:spacing w:before="60" w:after="60" w:line="276" w:lineRule="auto"/>
        <w:ind w:firstLine="720"/>
        <w:jc w:val="both"/>
      </w:pPr>
    </w:p>
    <w:tbl>
      <w:tblPr>
        <w:tblW w:w="5000" w:type="pct"/>
        <w:tblCellMar>
          <w:left w:w="0" w:type="dxa"/>
          <w:right w:w="0" w:type="dxa"/>
        </w:tblCellMar>
        <w:tblLook w:val="04A0" w:firstRow="1" w:lastRow="0" w:firstColumn="1" w:lastColumn="0" w:noHBand="0" w:noVBand="1"/>
      </w:tblPr>
      <w:tblGrid>
        <w:gridCol w:w="6062"/>
        <w:gridCol w:w="3224"/>
      </w:tblGrid>
      <w:tr w:rsidR="00F33B58" w:rsidRPr="00086837" w14:paraId="3EF1BCCA" w14:textId="77777777" w:rsidTr="00BD588B">
        <w:tc>
          <w:tcPr>
            <w:tcW w:w="3264" w:type="pct"/>
            <w:tcMar>
              <w:top w:w="0" w:type="dxa"/>
              <w:left w:w="108" w:type="dxa"/>
              <w:bottom w:w="0" w:type="dxa"/>
              <w:right w:w="108" w:type="dxa"/>
            </w:tcMar>
          </w:tcPr>
          <w:p w14:paraId="052ECDE3" w14:textId="77777777" w:rsidR="00F33B58" w:rsidRPr="00086837" w:rsidRDefault="00F33B58" w:rsidP="00BD588B">
            <w:pPr>
              <w:spacing w:line="240" w:lineRule="atLeast"/>
              <w:ind w:hanging="108"/>
              <w:rPr>
                <w:lang w:val="vi-VN"/>
              </w:rPr>
            </w:pPr>
            <w:r w:rsidRPr="00086837">
              <w:rPr>
                <w:b/>
                <w:bCs/>
                <w:i/>
                <w:iCs/>
                <w:sz w:val="24"/>
                <w:lang w:val="vi-VN"/>
              </w:rPr>
              <w:t>Nơi nhận:</w:t>
            </w:r>
          </w:p>
          <w:p w14:paraId="6F9D1E81" w14:textId="15AB92B5" w:rsidR="00F33B58" w:rsidRPr="00086837" w:rsidRDefault="00F33B58" w:rsidP="00BD588B">
            <w:pPr>
              <w:spacing w:line="240" w:lineRule="atLeast"/>
              <w:ind w:hanging="108"/>
              <w:rPr>
                <w:sz w:val="22"/>
              </w:rPr>
            </w:pPr>
            <w:r w:rsidRPr="00086837">
              <w:rPr>
                <w:sz w:val="22"/>
                <w:lang w:val="vi-VN"/>
              </w:rPr>
              <w:t>- Như trên;</w:t>
            </w:r>
          </w:p>
          <w:p w14:paraId="79A83F09" w14:textId="62DFA80E" w:rsidR="00F33B58" w:rsidRPr="00086837" w:rsidRDefault="00F33B58" w:rsidP="00BD588B">
            <w:pPr>
              <w:spacing w:line="240" w:lineRule="atLeast"/>
              <w:ind w:hanging="108"/>
              <w:jc w:val="both"/>
              <w:rPr>
                <w:sz w:val="22"/>
              </w:rPr>
            </w:pPr>
            <w:r w:rsidRPr="00086837">
              <w:rPr>
                <w:sz w:val="22"/>
              </w:rPr>
              <w:t>- V</w:t>
            </w:r>
            <w:r w:rsidR="004035E0">
              <w:rPr>
                <w:sz w:val="22"/>
              </w:rPr>
              <w:t>ăn phòng Chính phủ</w:t>
            </w:r>
            <w:r w:rsidRPr="00086837">
              <w:rPr>
                <w:sz w:val="22"/>
              </w:rPr>
              <w:t>;</w:t>
            </w:r>
          </w:p>
          <w:p w14:paraId="468725FE" w14:textId="77777777" w:rsidR="00F33B58" w:rsidRPr="00086837" w:rsidRDefault="00F33B58" w:rsidP="00BD588B">
            <w:pPr>
              <w:spacing w:line="240" w:lineRule="atLeast"/>
              <w:ind w:hanging="108"/>
              <w:jc w:val="both"/>
              <w:rPr>
                <w:sz w:val="22"/>
                <w:lang w:val="vi-VN"/>
              </w:rPr>
            </w:pPr>
            <w:r w:rsidRPr="00086837">
              <w:rPr>
                <w:sz w:val="22"/>
                <w:lang w:val="vi-VN"/>
              </w:rPr>
              <w:t>-</w:t>
            </w:r>
            <w:r w:rsidRPr="00086837">
              <w:rPr>
                <w:sz w:val="22"/>
              </w:rPr>
              <w:t xml:space="preserve"> Bộ Tư pháp (để thẩm định)</w:t>
            </w:r>
            <w:r w:rsidRPr="00086837">
              <w:rPr>
                <w:sz w:val="22"/>
                <w:lang w:val="vi-VN"/>
              </w:rPr>
              <w:t>;</w:t>
            </w:r>
          </w:p>
          <w:p w14:paraId="49C96680" w14:textId="77777777" w:rsidR="00F33B58" w:rsidRPr="00086837" w:rsidRDefault="00F33B58" w:rsidP="00BD588B">
            <w:pPr>
              <w:spacing w:line="240" w:lineRule="atLeast"/>
              <w:ind w:hanging="108"/>
              <w:jc w:val="both"/>
              <w:rPr>
                <w:sz w:val="22"/>
              </w:rPr>
            </w:pPr>
            <w:r w:rsidRPr="00086837">
              <w:rPr>
                <w:sz w:val="22"/>
              </w:rPr>
              <w:t>- Đ/c Bộ trưởng BQP (để báo cáo);</w:t>
            </w:r>
          </w:p>
          <w:p w14:paraId="4E6E258D" w14:textId="77777777" w:rsidR="00F33B58" w:rsidRPr="00086837" w:rsidRDefault="00F33B58" w:rsidP="00BD588B">
            <w:pPr>
              <w:spacing w:line="240" w:lineRule="atLeast"/>
              <w:ind w:hanging="108"/>
              <w:jc w:val="both"/>
              <w:rPr>
                <w:sz w:val="22"/>
              </w:rPr>
            </w:pPr>
            <w:r w:rsidRPr="00086837">
              <w:rPr>
                <w:sz w:val="22"/>
              </w:rPr>
              <w:t>- Đ/c TTMT - Thứ trưởng BQP;</w:t>
            </w:r>
          </w:p>
          <w:p w14:paraId="72A35F05" w14:textId="77777777" w:rsidR="00F33B58" w:rsidRPr="00086837" w:rsidRDefault="00F33B58" w:rsidP="00BD588B">
            <w:pPr>
              <w:spacing w:line="240" w:lineRule="atLeast"/>
              <w:ind w:hanging="108"/>
              <w:jc w:val="both"/>
              <w:rPr>
                <w:sz w:val="22"/>
              </w:rPr>
            </w:pPr>
            <w:r w:rsidRPr="00086837">
              <w:rPr>
                <w:sz w:val="22"/>
              </w:rPr>
              <w:t>- Đ/c Thứ trưởng Nguyễn Văn Gấu;</w:t>
            </w:r>
          </w:p>
          <w:p w14:paraId="008149FE" w14:textId="77777777" w:rsidR="00F33B58" w:rsidRPr="00086837" w:rsidRDefault="00F33B58" w:rsidP="00BD588B">
            <w:pPr>
              <w:spacing w:line="240" w:lineRule="atLeast"/>
              <w:ind w:hanging="108"/>
              <w:jc w:val="both"/>
              <w:rPr>
                <w:sz w:val="22"/>
              </w:rPr>
            </w:pPr>
            <w:r w:rsidRPr="00086837">
              <w:rPr>
                <w:sz w:val="22"/>
                <w:lang w:val="vi-VN"/>
              </w:rPr>
              <w:t xml:space="preserve">- </w:t>
            </w:r>
            <w:r w:rsidRPr="00086837">
              <w:rPr>
                <w:sz w:val="22"/>
              </w:rPr>
              <w:t>BTTM, TCCT</w:t>
            </w:r>
            <w:r w:rsidRPr="00086837">
              <w:rPr>
                <w:sz w:val="22"/>
                <w:lang w:val="vi-VN"/>
              </w:rPr>
              <w:t>;</w:t>
            </w:r>
          </w:p>
          <w:p w14:paraId="7B003C75" w14:textId="77777777" w:rsidR="00F33B58" w:rsidRPr="00086837" w:rsidRDefault="00F33B58" w:rsidP="00BD588B">
            <w:pPr>
              <w:spacing w:line="240" w:lineRule="atLeast"/>
              <w:ind w:hanging="108"/>
              <w:jc w:val="both"/>
              <w:rPr>
                <w:sz w:val="22"/>
              </w:rPr>
            </w:pPr>
            <w:r w:rsidRPr="00086837">
              <w:rPr>
                <w:sz w:val="22"/>
              </w:rPr>
              <w:t>- C20, C79;</w:t>
            </w:r>
          </w:p>
          <w:p w14:paraId="531C54A2" w14:textId="77777777" w:rsidR="00F33B58" w:rsidRPr="00086837" w:rsidRDefault="00F33B58" w:rsidP="00BD588B">
            <w:pPr>
              <w:spacing w:line="240" w:lineRule="atLeast"/>
              <w:ind w:hanging="108"/>
              <w:jc w:val="both"/>
              <w:rPr>
                <w:sz w:val="22"/>
              </w:rPr>
            </w:pPr>
            <w:r w:rsidRPr="00086837">
              <w:rPr>
                <w:sz w:val="22"/>
              </w:rPr>
              <w:t>- Binh chủng Hóa Học;</w:t>
            </w:r>
          </w:p>
          <w:p w14:paraId="00E7A119" w14:textId="7275B398" w:rsidR="00F33B58" w:rsidRPr="00086837" w:rsidRDefault="00F33B58" w:rsidP="00BD588B">
            <w:pPr>
              <w:spacing w:line="240" w:lineRule="atLeast"/>
              <w:ind w:hanging="108"/>
              <w:jc w:val="both"/>
              <w:rPr>
                <w:sz w:val="22"/>
              </w:rPr>
            </w:pPr>
            <w:r w:rsidRPr="00086837">
              <w:rPr>
                <w:sz w:val="22"/>
                <w:lang w:val="vi-VN"/>
              </w:rPr>
              <w:t xml:space="preserve">- Lưu: VT, </w:t>
            </w:r>
            <w:r w:rsidRPr="00086837">
              <w:rPr>
                <w:sz w:val="22"/>
              </w:rPr>
              <w:t>CPC</w:t>
            </w:r>
            <w:r w:rsidRPr="00086837">
              <w:rPr>
                <w:sz w:val="22"/>
                <w:lang w:val="vi-VN"/>
              </w:rPr>
              <w:t>.</w:t>
            </w:r>
            <w:r w:rsidR="004035E0">
              <w:rPr>
                <w:sz w:val="22"/>
              </w:rPr>
              <w:t xml:space="preserve"> Tm13.</w:t>
            </w:r>
          </w:p>
        </w:tc>
        <w:tc>
          <w:tcPr>
            <w:tcW w:w="1736" w:type="pct"/>
            <w:tcMar>
              <w:top w:w="0" w:type="dxa"/>
              <w:left w:w="108" w:type="dxa"/>
              <w:bottom w:w="0" w:type="dxa"/>
              <w:right w:w="108" w:type="dxa"/>
            </w:tcMar>
          </w:tcPr>
          <w:p w14:paraId="511BF22E" w14:textId="77777777" w:rsidR="00F33B58" w:rsidRPr="00086837" w:rsidRDefault="00F33B58" w:rsidP="00BD588B">
            <w:pPr>
              <w:jc w:val="center"/>
              <w:rPr>
                <w:b/>
                <w:bCs/>
                <w:lang w:val="vi-VN"/>
              </w:rPr>
            </w:pPr>
            <w:r w:rsidRPr="00086837">
              <w:rPr>
                <w:b/>
                <w:bCs/>
              </w:rPr>
              <w:t xml:space="preserve">KT. </w:t>
            </w:r>
            <w:r w:rsidRPr="00086837">
              <w:rPr>
                <w:b/>
                <w:bCs/>
                <w:lang w:val="vi-VN"/>
              </w:rPr>
              <w:t>BỘ TRƯỞNG</w:t>
            </w:r>
          </w:p>
          <w:p w14:paraId="3826AE19" w14:textId="77777777" w:rsidR="00F33B58" w:rsidRPr="00086837" w:rsidRDefault="00F33B58" w:rsidP="00BD588B">
            <w:pPr>
              <w:jc w:val="center"/>
              <w:rPr>
                <w:lang w:val="vi-VN"/>
              </w:rPr>
            </w:pPr>
            <w:r w:rsidRPr="00086837">
              <w:rPr>
                <w:b/>
                <w:bCs/>
              </w:rPr>
              <w:t>THỨ TRƯỞNG</w:t>
            </w:r>
            <w:r w:rsidRPr="00086837">
              <w:rPr>
                <w:i/>
                <w:iCs/>
                <w:lang w:val="vi-VN"/>
              </w:rPr>
              <w:br/>
            </w:r>
          </w:p>
        </w:tc>
      </w:tr>
    </w:tbl>
    <w:p w14:paraId="5AE464B4" w14:textId="77777777" w:rsidR="00F33B58" w:rsidRPr="00086837" w:rsidRDefault="00F33B58" w:rsidP="00F33B58">
      <w:pPr>
        <w:spacing w:before="80" w:after="80"/>
        <w:rPr>
          <w:lang w:val="vi-VN"/>
        </w:rPr>
      </w:pPr>
    </w:p>
    <w:p w14:paraId="7C35D8D6" w14:textId="77777777" w:rsidR="00F33B58" w:rsidRPr="00086837" w:rsidRDefault="00F33B58" w:rsidP="00F33B58">
      <w:pPr>
        <w:spacing w:before="60" w:line="269" w:lineRule="auto"/>
        <w:ind w:firstLine="720"/>
        <w:jc w:val="both"/>
      </w:pPr>
    </w:p>
    <w:p w14:paraId="538D37F0" w14:textId="77777777" w:rsidR="00F33B58" w:rsidRPr="00086837" w:rsidRDefault="00F33B58" w:rsidP="00E70D92">
      <w:pPr>
        <w:spacing w:before="60" w:line="269" w:lineRule="auto"/>
        <w:ind w:firstLine="720"/>
        <w:jc w:val="both"/>
      </w:pPr>
    </w:p>
    <w:sectPr w:rsidR="00F33B58" w:rsidRPr="00086837" w:rsidSect="004A5054">
      <w:headerReference w:type="default" r:id="rId9"/>
      <w:headerReference w:type="first" r:id="rId10"/>
      <w:pgSz w:w="11906" w:h="16838" w:code="9"/>
      <w:pgMar w:top="1418" w:right="851" w:bottom="1134" w:left="198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65A48" w14:textId="77777777" w:rsidR="001E0DC0" w:rsidRDefault="001E0DC0" w:rsidP="0001156A">
      <w:r>
        <w:separator/>
      </w:r>
    </w:p>
  </w:endnote>
  <w:endnote w:type="continuationSeparator" w:id="0">
    <w:p w14:paraId="6AB734F2" w14:textId="77777777" w:rsidR="001E0DC0" w:rsidRDefault="001E0DC0" w:rsidP="0001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D7A15" w14:textId="77777777" w:rsidR="001E0DC0" w:rsidRDefault="001E0DC0" w:rsidP="0001156A">
      <w:r>
        <w:separator/>
      </w:r>
    </w:p>
  </w:footnote>
  <w:footnote w:type="continuationSeparator" w:id="0">
    <w:p w14:paraId="4B0CE12D" w14:textId="77777777" w:rsidR="001E0DC0" w:rsidRDefault="001E0DC0" w:rsidP="0001156A">
      <w:r>
        <w:continuationSeparator/>
      </w:r>
    </w:p>
  </w:footnote>
  <w:footnote w:id="1">
    <w:p w14:paraId="78555E09" w14:textId="77777777" w:rsidR="00BD588B" w:rsidRDefault="00BD588B" w:rsidP="00B14A5D">
      <w:pPr>
        <w:pStyle w:val="FootnoteText"/>
        <w:jc w:val="both"/>
      </w:pPr>
      <w:r>
        <w:rPr>
          <w:rStyle w:val="FootnoteReference"/>
        </w:rPr>
        <w:footnoteRef/>
      </w:r>
      <w:r>
        <w:t xml:space="preserve"> </w:t>
      </w:r>
      <w:r w:rsidRPr="00932D12">
        <w:rPr>
          <w:spacing w:val="-2"/>
        </w:rPr>
        <w:t>Hiện nay trên thế giới có 9 quốc gia được công nhận sở hữu vũ khí hạt nhân: Nga (khoảng 5459 đầu đạn hạt nhân, lớn nhất thế giới), Mỹ (khoảng 5177 đầu đạn hạt nhân), Trung Quốc (khoảng 600 đầu đạn hạt nhân), Anh (khoảng 225 đầu đạn hạt nhân), Pháp (khoảng 290 đầu đạn hạt nhân), Triều tiên (khoảng 50 đầu đạn hạt nhân), Ấn độ (khoảng 180 đầu đạn hạt nhân), Pakistan (khoảng 170 đầu đạn hạt nhân), Israel (khoảng 90 đầu đạn hạt nhân)</w:t>
      </w:r>
    </w:p>
  </w:footnote>
  <w:footnote w:id="2">
    <w:p w14:paraId="7E057B46" w14:textId="77777777" w:rsidR="00BD588B" w:rsidRDefault="00BD588B" w:rsidP="00B14A5D">
      <w:pPr>
        <w:pStyle w:val="FootnoteText"/>
        <w:ind w:firstLine="567"/>
      </w:pPr>
      <w:r>
        <w:rPr>
          <w:rStyle w:val="FootnoteReference"/>
          <w:rFonts w:eastAsiaTheme="majorEastAsia"/>
        </w:rPr>
        <w:footnoteRef/>
      </w:r>
      <w:r>
        <w:t xml:space="preserve"> Khoản 3 Điều 1 các mục tiêu, Hiến chương của Hiệp hội các quốc gia Đông Nam Á.</w:t>
      </w:r>
    </w:p>
  </w:footnote>
  <w:footnote w:id="3">
    <w:p w14:paraId="165532BF" w14:textId="5666BE99" w:rsidR="00BD588B" w:rsidRPr="00D60D8C" w:rsidRDefault="00BD588B" w:rsidP="00B14A5D">
      <w:pPr>
        <w:pStyle w:val="FootnoteText"/>
        <w:jc w:val="both"/>
      </w:pPr>
      <w:r w:rsidRPr="00D60D8C">
        <w:rPr>
          <w:rStyle w:val="FootnoteReference"/>
        </w:rPr>
        <w:footnoteRef/>
      </w:r>
      <w:r w:rsidRPr="00D60D8C">
        <w:t xml:space="preserve"> Theo Thông cáo báo chí ngày 05/01/2026 của Cục Thống kê</w:t>
      </w:r>
      <w:r>
        <w:t xml:space="preserve"> (</w:t>
      </w:r>
      <w:r w:rsidRPr="00D60D8C">
        <w:t>Bộ Tài chính</w:t>
      </w:r>
      <w:r>
        <w:t>)</w:t>
      </w:r>
      <w:r w:rsidRPr="00D60D8C">
        <w:t xml:space="preserve"> về tình hình kính tế - xã hội quý IV và năm 202</w:t>
      </w:r>
      <w:r>
        <w:t xml:space="preserve">5 </w:t>
      </w:r>
      <w:r w:rsidRPr="009709C5">
        <w:t>trên cổng thông tin cơ quan thống kê.</w:t>
      </w:r>
    </w:p>
  </w:footnote>
  <w:footnote w:id="4">
    <w:p w14:paraId="3024ADF3" w14:textId="39D14796" w:rsidR="00BD588B" w:rsidRPr="00D60D8C" w:rsidRDefault="00BD588B" w:rsidP="00B14A5D">
      <w:pPr>
        <w:pStyle w:val="FootnoteText"/>
        <w:jc w:val="both"/>
      </w:pPr>
      <w:r w:rsidRPr="00D60D8C">
        <w:rPr>
          <w:rStyle w:val="FootnoteReference"/>
        </w:rPr>
        <w:footnoteRef/>
      </w:r>
      <w:r>
        <w:t xml:space="preserve"> </w:t>
      </w:r>
      <w:r w:rsidRPr="00D60D8C">
        <w:t>https://thoibaotaichinhvietnam.vn/infographics-tong-kim-ngach-xuat-nhap-khau-hang-hoa-ca-nuoc-dat-76244-ty-usd-186523.html?utm_source</w:t>
      </w:r>
    </w:p>
  </w:footnote>
  <w:footnote w:id="5">
    <w:p w14:paraId="0A31FF60" w14:textId="77777777" w:rsidR="00BD588B" w:rsidRDefault="00BD588B" w:rsidP="00B14A5D">
      <w:pPr>
        <w:pStyle w:val="FootnoteText"/>
        <w:jc w:val="both"/>
      </w:pPr>
      <w:r w:rsidRPr="00D60D8C">
        <w:rPr>
          <w:rStyle w:val="FootnoteReference"/>
        </w:rPr>
        <w:footnoteRef/>
      </w:r>
      <w:r w:rsidRPr="00D60D8C">
        <w:t xml:space="preserve"> Financial Action Task Force (FATF), </w:t>
      </w:r>
      <w:r w:rsidRPr="00D60D8C">
        <w:rPr>
          <w:i/>
          <w:iCs/>
        </w:rPr>
        <w:t xml:space="preserve">International Standards on Combating Money Laundering and the Financing of Terrorism &amp; Proliferation </w:t>
      </w:r>
      <w:r>
        <w:rPr>
          <w:i/>
          <w:iCs/>
        </w:rPr>
        <w:t>-</w:t>
      </w:r>
      <w:r w:rsidRPr="00D60D8C">
        <w:rPr>
          <w:i/>
          <w:iCs/>
        </w:rPr>
        <w:t xml:space="preserve"> The FATF Recommendations</w:t>
      </w:r>
      <w:r w:rsidRPr="00D60D8C">
        <w:t xml:space="preserve"> (adopted February 2012, </w:t>
      </w:r>
      <w:r w:rsidRPr="0050459F">
        <w:t xml:space="preserve">updated October 2025), Recommendation 7 </w:t>
      </w:r>
      <w:r>
        <w:t>-</w:t>
      </w:r>
      <w:r w:rsidRPr="0050459F">
        <w:t xml:space="preserve"> “Targeted financial sanctions related to proliferation”,</w:t>
      </w:r>
      <w:r w:rsidRPr="00D60D8C">
        <w:t xml:space="preserve"> tr. 13</w:t>
      </w:r>
      <w:r>
        <w:t>.</w:t>
      </w:r>
    </w:p>
  </w:footnote>
  <w:footnote w:id="6">
    <w:p w14:paraId="584728B3" w14:textId="77777777" w:rsidR="00BD588B" w:rsidRDefault="00BD588B" w:rsidP="00932D12">
      <w:pPr>
        <w:pStyle w:val="FootnoteText"/>
        <w:jc w:val="both"/>
      </w:pPr>
      <w:r>
        <w:rPr>
          <w:rStyle w:val="FootnoteReference"/>
        </w:rPr>
        <w:footnoteRef/>
      </w:r>
      <w:r>
        <w:t xml:space="preserve"> </w:t>
      </w:r>
      <w:r w:rsidRPr="00BD3183">
        <w:t>https://www.imf.org/-/media/files/publications/wp/2021/english/wpiea2021153-print-pdf.pdf?utm_source</w:t>
      </w:r>
      <w:r>
        <w:t>.</w:t>
      </w:r>
    </w:p>
  </w:footnote>
  <w:footnote w:id="7">
    <w:p w14:paraId="0F93784A" w14:textId="56A2CC7F" w:rsidR="00BD588B" w:rsidRPr="00AD5C49" w:rsidRDefault="00BD588B" w:rsidP="00B0461A">
      <w:pPr>
        <w:pStyle w:val="FootnoteText"/>
        <w:jc w:val="both"/>
        <w:rPr>
          <w:lang w:val="vi-VN"/>
        </w:rPr>
      </w:pPr>
      <w:r w:rsidRPr="00AD5C49">
        <w:rPr>
          <w:rStyle w:val="FootnoteReference"/>
          <w:lang w:val="vi-VN"/>
        </w:rPr>
        <w:footnoteRef/>
      </w:r>
      <w:r w:rsidRPr="00AD5C49">
        <w:rPr>
          <w:lang w:val="vi-VN"/>
        </w:rPr>
        <w:t xml:space="preserve"> </w:t>
      </w:r>
      <w:r w:rsidRPr="00534303">
        <w:t>Theo tổng hợp từ các kế hoạch triển khai và báo cáo định kỳ do các đơn vị gửi về Cơ quan đầu mối quốc gia, đến hết năm 2025 phần lớn bộ, ngành và địa phương đã ban hành kế hoạch triển khai thực hiện phòng, chống phổ biến WMD theo kế hoạch của Thủ tướng Chính phủ</w:t>
      </w:r>
      <w:r w:rsidRPr="00534303">
        <w:rPr>
          <w:lang w:val="vi-VN"/>
        </w:rPr>
        <w:t>.</w:t>
      </w:r>
      <w:r w:rsidRPr="00AD5C49">
        <w:rPr>
          <w:lang w:val="vi-VN"/>
        </w:rPr>
        <w:t xml:space="preserve"> </w:t>
      </w:r>
    </w:p>
  </w:footnote>
  <w:footnote w:id="8">
    <w:p w14:paraId="277A735E" w14:textId="58789DDA" w:rsidR="00BD588B" w:rsidRPr="00765C25" w:rsidRDefault="00BD588B" w:rsidP="00B0461A">
      <w:pPr>
        <w:pStyle w:val="FootnoteText"/>
        <w:jc w:val="both"/>
      </w:pPr>
      <w:r w:rsidRPr="00AD5C49">
        <w:rPr>
          <w:rStyle w:val="FootnoteReference"/>
          <w:lang w:val="vi-VN"/>
        </w:rPr>
        <w:footnoteRef/>
      </w:r>
      <w:r w:rsidRPr="00AD5C49">
        <w:rPr>
          <w:lang w:val="vi-VN"/>
        </w:rPr>
        <w:t xml:space="preserve"> </w:t>
      </w:r>
      <w:r w:rsidRPr="00765C25">
        <w:t>Số đơn vị đầu mối gửi báo cáo hằng năm/báo cáo sơ kết về kết quả thực hiện Nghị định số 81/2019/NĐ-CP (theo tổng hợp của Cơ quan đầu mối quốc gia): năm 2020 có 09 bộ, cơ quan ngang bộ và 52 đơn vị hành chính cấp tỉnh; năm 2021 có 12 bộ, cơ quan ngang bộ và 54 đơn vị hành chính cấp tỉnh; năm 2022 có 10 bộ, cơ quan ngang bộ và 55 đơn vị hành chính cấp tỉnh; năm 2023 có 13 bộ, cơ quan ngang bộ và 53 đơn vị hành chính cấp tỉnh; năm 2024 có 12 bộ, cơ quan ngang bộ và 53 đơn vị hành chính cấp tỉnh. Năm 2025 có 12 bộ, cơ quan ngang bộ và 34 đơn vị hành chính cấp tỉnh (tính theo cơ cấu đơn vị hành chính tại kỳ báo cáo năm 2025) gửi báo cáo kết quả thực hiện Nghị định số 81/2019/NĐ-CP.</w:t>
      </w:r>
    </w:p>
  </w:footnote>
  <w:footnote w:id="9">
    <w:p w14:paraId="1FA8B7BD" w14:textId="608527EB" w:rsidR="00BD588B" w:rsidRPr="00AD5C49" w:rsidRDefault="00BD588B" w:rsidP="00B0461A">
      <w:pPr>
        <w:pStyle w:val="FootnoteText"/>
        <w:jc w:val="both"/>
        <w:rPr>
          <w:lang w:val="vi-VN"/>
        </w:rPr>
      </w:pPr>
      <w:r w:rsidRPr="00AD5C49">
        <w:rPr>
          <w:rStyle w:val="FootnoteReference"/>
          <w:lang w:val="vi-VN"/>
        </w:rPr>
        <w:footnoteRef/>
      </w:r>
      <w:r w:rsidRPr="00AD5C49">
        <w:rPr>
          <w:lang w:val="vi-VN"/>
        </w:rPr>
        <w:t xml:space="preserve"> </w:t>
      </w:r>
      <w:r w:rsidRPr="00967DE1">
        <w:t>Trang thông tin về phòng, chống phổ biến WMD trên cổng thông tin điện tử Bộ Quốc phòng; Cổng thông tin điện tử Cơ quan thường trực của Cơ quan đầu mối quốc gia về phòng, chống phổ biến WMD. Số liệu truy cập: theo thống kê truy cập của hệ thống cổng thông tin điện tử (log/analytics do Cơ quan thường trực trích xuất), tính đến tháng 02/2026 ghi nhận khoảng 1,6 triệu lượt truy cập vào cổng thông tin điện tử Cơ quan thường trực 81</w:t>
      </w:r>
      <w:r w:rsidRPr="00967DE1">
        <w:rPr>
          <w:lang w:val="vi-VN"/>
        </w:rPr>
        <w:t>.</w:t>
      </w:r>
    </w:p>
  </w:footnote>
  <w:footnote w:id="10">
    <w:p w14:paraId="269D984A" w14:textId="77777777" w:rsidR="00BD588B" w:rsidRPr="00AD5C49" w:rsidRDefault="00BD588B" w:rsidP="00B0461A">
      <w:pPr>
        <w:pStyle w:val="FootnoteText"/>
        <w:jc w:val="both"/>
        <w:rPr>
          <w:lang w:val="vi-VN"/>
        </w:rPr>
      </w:pPr>
      <w:r w:rsidRPr="00AD5C49">
        <w:rPr>
          <w:rStyle w:val="FootnoteReference"/>
          <w:lang w:val="vi-VN"/>
        </w:rPr>
        <w:footnoteRef/>
      </w:r>
      <w:r w:rsidRPr="00AD5C49">
        <w:rPr>
          <w:lang w:val="vi-VN"/>
        </w:rPr>
        <w:t xml:space="preserve"> Phim “Khát vọng hòa bình”, “Vì một thế giới hòa bình”, “Hiểm họa tiềm tàng”, “Chung tay vì một thế giới không vũ khí hủy diệt hàng loạt” chiếu trên kênh Truyền hình Quốc phòng Việt Nam và VTV2.</w:t>
      </w:r>
    </w:p>
  </w:footnote>
  <w:footnote w:id="11">
    <w:p w14:paraId="06E8256E" w14:textId="77777777" w:rsidR="00BD588B" w:rsidRPr="00AD5C49" w:rsidRDefault="00BD588B" w:rsidP="00B0461A">
      <w:pPr>
        <w:pStyle w:val="FootnoteText"/>
        <w:jc w:val="both"/>
        <w:rPr>
          <w:lang w:val="vi-VN"/>
        </w:rPr>
      </w:pPr>
      <w:r w:rsidRPr="00AD5C49">
        <w:rPr>
          <w:rStyle w:val="FootnoteReference"/>
          <w:lang w:val="vi-VN"/>
        </w:rPr>
        <w:footnoteRef/>
      </w:r>
      <w:r w:rsidRPr="00AD5C49">
        <w:rPr>
          <w:lang w:val="vi-VN"/>
        </w:rPr>
        <w:t xml:space="preserve"> Sau hơn 5 năm triển khai thực hiện Nghị định số 81/2019/NĐ-CP, hoạt động tuyên truyền, phổ biến kiến thức pháp luật về Nghị định số 81/2019/NĐ-CP được đẩy mạnh với sự phong phú về nội dung (giới thiệu quy định pháp luật, tập huấn nâng cao nhận thức cho nhân dân, lực lượng chức năng…) và đa dạng về hình thức (tọa đàm, báo giấy, tiểu phẩm kịch…) cho các tầng lớp cán bộ, công chức, viên chức và người dân địa phương. Theo thống kê của Bộ Thông tin và Truyền thông (tính đến 12/10/2024) đã có 1898 tin bài về phòng, chống phổ biến WMD được đăng tải trên 157 cơ quan báo chí trong cả nước.</w:t>
      </w:r>
    </w:p>
  </w:footnote>
  <w:footnote w:id="12">
    <w:p w14:paraId="12F09893" w14:textId="77777777" w:rsidR="00BD588B" w:rsidRPr="00AD5C49" w:rsidRDefault="00BD588B" w:rsidP="00B0461A">
      <w:pPr>
        <w:pStyle w:val="FootnoteText"/>
        <w:jc w:val="both"/>
        <w:rPr>
          <w:lang w:val="vi-VN"/>
        </w:rPr>
      </w:pPr>
      <w:r w:rsidRPr="00AD5C49">
        <w:rPr>
          <w:rStyle w:val="FootnoteReference"/>
          <w:lang w:val="vi-VN"/>
        </w:rPr>
        <w:footnoteRef/>
      </w:r>
      <w:r w:rsidRPr="00AD5C49">
        <w:rPr>
          <w:lang w:val="vi-VN"/>
        </w:rPr>
        <w:t xml:space="preserve"> Nghị định 218/2025/NĐ-CP quy định xử phạt vi phạm hành chính trong lĩnh vực quốc phòng, cơ yếu; Nghị định 340/2025/NĐ-CP quy định xử phạt vi phạm hành chính trong lĩnh vực tiền tệ và ngân hàng; Nghị định số 117/2024/NĐ-CP sửa đổi, bổ sung một số điều của Nghị định số 82/2020/NĐ-CP quy định xử phạt vi phạm hành chính trong lĩnh vực bổ trợ tư pháp; hành chính tư pháp; hôn nhân và gia đình; thi hành án dân sự; phá sản doanh nghiệp, hợp tác xã; Nghị định 174/2024/NĐ-CP quy định về xử phạt vi phạm hành chính trong lĩnh vực kinh doanh bảo hiểm; Nghị định số 306/2025/NĐ-CP sửa đổi, bổ sung một số điều của Nghị định số 156/2020/NĐ-CP quy định xử phạt vi phạm hành chính trong lĩnh vực chứng khoán và thị trường chứng khoán (được sửa đổi, bổ sung một số điều theo Nghị định số 128/2021/NĐ-CP) và Nghị định số 158/2020/NĐ-CP về chứng khoán phái sinh và thị trường chứng khoán phái sinh</w:t>
      </w:r>
    </w:p>
  </w:footnote>
  <w:footnote w:id="13">
    <w:p w14:paraId="3319E7F1" w14:textId="35BC8D0A" w:rsidR="00BD588B" w:rsidRPr="0024794F" w:rsidRDefault="00BD588B" w:rsidP="00B0461A">
      <w:pPr>
        <w:pStyle w:val="FootnoteText"/>
        <w:jc w:val="both"/>
      </w:pPr>
      <w:r w:rsidRPr="00AD5C49">
        <w:rPr>
          <w:rStyle w:val="FootnoteReference"/>
          <w:lang w:val="vi-VN"/>
        </w:rPr>
        <w:footnoteRef/>
      </w:r>
      <w:r w:rsidRPr="00AD5C49">
        <w:rPr>
          <w:lang w:val="vi-VN"/>
        </w:rPr>
        <w:t xml:space="preserve"> </w:t>
      </w:r>
      <w:r w:rsidRPr="0024794F">
        <w:t>Bộ Công an đã ban hành Thông tư số 38/2021/TT-BCA ngày 09/4/2021 quy định cơ quan, đơn vị trong Công an nhân dân thực hiện nhiệm vụ chống khủng bố; trong đó bổ sung nhiệm vụ phòng, chống phổ biến WMD vào chức năng, nhiệm vụ của lực lượng phòng, chống khủng bố theo quy định tại Nghị định số 81/2019/NĐ-CP; tham mưu cho Chính phủ ban hành Nghị định số 62/2023/NĐ-CP ngày 18/8/2023 sửa đổi, bổ sung một số điều của Nghị định số 07/2014/NĐ-CP ngày 27/01/2014 quy định tổ chức, nhiệm vụ, quyền hạn và quan hệ phối hợp của Ban Chỉ đạo phòng, chống khủng bố các cấp; Nghị định số 93/2024/NĐ-CP ngày 18/7/2024 sửa đổi, bổ sung một số điều của Nghị định số 122/2013/NĐ-CP ngày 11/10/2013 quy định về tạm ngừng lưu thông, phong tỏa, niêm phong, tạm giữ và xử lý đối với tiền, tài sản liên quan đến khủng bố, tài trợ khủng bố; xác lập danh sách tổ chức, cá nhân liên quan đến khủng bố, tài trợ khủng bố chính thức có hiệu lực thi hành từ ngày 01/9/2024. Nghị định số 81/2019/NĐ-CP áp dụng các quy định tại Nghị định số 93/2024/NĐ-CP để xử lý tiền, tài sản liên quan đến tài trợ phổ biến WMD.</w:t>
      </w:r>
    </w:p>
  </w:footnote>
  <w:footnote w:id="14">
    <w:p w14:paraId="03E3C64C" w14:textId="77777777" w:rsidR="00BD588B" w:rsidRPr="00AD5C49" w:rsidRDefault="00BD588B" w:rsidP="00B0461A">
      <w:pPr>
        <w:pStyle w:val="FootnoteText"/>
        <w:jc w:val="both"/>
        <w:rPr>
          <w:lang w:val="vi-VN"/>
        </w:rPr>
      </w:pPr>
      <w:r w:rsidRPr="00AD5C49">
        <w:rPr>
          <w:rStyle w:val="FootnoteReference"/>
          <w:lang w:val="vi-VN"/>
        </w:rPr>
        <w:footnoteRef/>
      </w:r>
      <w:r w:rsidRPr="00AD5C49">
        <w:rPr>
          <w:lang w:val="vi-VN"/>
        </w:rPr>
        <w:t xml:space="preserve"> Ngân hàng Nhà nước Việt Nam đã ban hành Thông tư 15/2024/TT-NHNN quy định về cung ứng dịch vụ thanh toán không dùng tiền mặt, Thông tư 27/2025/TT-NHNN hướng dẫn thực hiện một số điều của Luật phòng, chống rửa tiền; tham mưu ban hành Nghị định số 19/2023/NĐ-CP quy định chi tiết một số điều của Luật phòng, chống rửa tiền</w:t>
      </w:r>
    </w:p>
  </w:footnote>
  <w:footnote w:id="15">
    <w:p w14:paraId="543AF87F" w14:textId="77777777" w:rsidR="00BD588B" w:rsidRPr="00AD5C49" w:rsidRDefault="00BD588B" w:rsidP="00B0461A">
      <w:pPr>
        <w:pStyle w:val="FootnoteText"/>
        <w:rPr>
          <w:lang w:val="vi-VN"/>
        </w:rPr>
      </w:pPr>
      <w:r w:rsidRPr="00AD5C49">
        <w:rPr>
          <w:rStyle w:val="FootnoteReference"/>
          <w:lang w:val="vi-VN"/>
        </w:rPr>
        <w:footnoteRef/>
      </w:r>
      <w:r w:rsidRPr="00AD5C49">
        <w:rPr>
          <w:lang w:val="vi-VN"/>
        </w:rPr>
        <w:t xml:space="preserve"> Bộ Công thương đã tham mưu ban hành Nghị định 33/2024/NĐ-CP quy định về thực hiện Công ước Cấm phát triển, sản xuất, tàng trữ, sử dụng và phá hủy vũ khí hóa học (CWC).</w:t>
      </w:r>
    </w:p>
  </w:footnote>
  <w:footnote w:id="16">
    <w:p w14:paraId="755C0463" w14:textId="77777777" w:rsidR="00BD588B" w:rsidRPr="00CC2E74" w:rsidRDefault="00BD588B" w:rsidP="00B0461A">
      <w:pPr>
        <w:pStyle w:val="FootnoteText"/>
        <w:rPr>
          <w:lang w:val="vi-VN"/>
        </w:rPr>
      </w:pPr>
      <w:r>
        <w:rPr>
          <w:rStyle w:val="FootnoteReference"/>
        </w:rPr>
        <w:footnoteRef/>
      </w:r>
      <w:r w:rsidRPr="00CC2E74">
        <w:rPr>
          <w:lang w:val="vi-VN"/>
        </w:rPr>
        <w:t xml:space="preserve"> Huấn luyện, tập huấn hàng năm cho các Trung tâm ứng phó sự cố hoá chất độc, phóng xạ, hạt nhân miền Bắc, miền Trung, miền Nam;</w:t>
      </w:r>
    </w:p>
  </w:footnote>
  <w:footnote w:id="17">
    <w:p w14:paraId="66214B84" w14:textId="6A80637A" w:rsidR="00BD588B" w:rsidRPr="00527839" w:rsidRDefault="00BD588B" w:rsidP="00B0461A">
      <w:pPr>
        <w:pStyle w:val="FootnoteText"/>
        <w:jc w:val="both"/>
        <w:rPr>
          <w:lang w:val="vi-VN"/>
        </w:rPr>
      </w:pPr>
      <w:r w:rsidRPr="00AD5C49">
        <w:rPr>
          <w:rStyle w:val="FootnoteReference"/>
          <w:lang w:val="vi-VN"/>
        </w:rPr>
        <w:footnoteRef/>
      </w:r>
      <w:r w:rsidRPr="00AD5C49">
        <w:rPr>
          <w:lang w:val="vi-VN"/>
        </w:rPr>
        <w:t xml:space="preserve"> </w:t>
      </w:r>
      <w:r w:rsidRPr="00CC2E74">
        <w:rPr>
          <w:lang w:val="vi-VN"/>
        </w:rPr>
        <w:t xml:space="preserve"> Bộ Quốc phòng chủ trì phối hợp với Bộ Công an tổ chức: </w:t>
      </w:r>
      <w:r w:rsidRPr="00AD5C49">
        <w:rPr>
          <w:lang w:val="vi-VN"/>
        </w:rPr>
        <w:t xml:space="preserve">Diễn tập Ứng phó tình huống phổ biến vũ khí hoá học tại Đà Nẵng (2022), Diễn tập Điều tra, xác minh, </w:t>
      </w:r>
      <w:r w:rsidRPr="00CC2E74">
        <w:rPr>
          <w:lang w:val="vi-VN"/>
        </w:rPr>
        <w:t>ứ</w:t>
      </w:r>
      <w:r w:rsidRPr="00AD5C49">
        <w:rPr>
          <w:lang w:val="vi-VN"/>
        </w:rPr>
        <w:t xml:space="preserve">ng phó tình huống phổ biến vũ khí phóng xạ tại Hà Nội (2023); Diễn tập Chống khủng bố sử dụng WMD tại Đồng Nai (2024); Diễn tập ứng phó tình huống phổ biến </w:t>
      </w:r>
      <w:r>
        <w:rPr>
          <w:lang w:val="vi-VN"/>
        </w:rPr>
        <w:t>WMD</w:t>
      </w:r>
      <w:r w:rsidRPr="00AD5C49">
        <w:rPr>
          <w:lang w:val="vi-VN"/>
        </w:rPr>
        <w:t xml:space="preserve"> tại Đà Nẵng (2025)</w:t>
      </w:r>
      <w:r w:rsidRPr="00CC2E74">
        <w:rPr>
          <w:lang w:val="vi-VN"/>
        </w:rPr>
        <w:t xml:space="preserve">. Bộ Công an chủ trì phối hợp tổ chức diễn tập phương án cấp cứu nạn nhân </w:t>
      </w:r>
      <w:r w:rsidRPr="00527839">
        <w:rPr>
          <w:lang w:val="vi-VN"/>
        </w:rPr>
        <w:t xml:space="preserve">vụ khủng bố bằng phóng xạ (2021), diễn tập HN-24 (2024). Bộ Giao thông vận tải đã phối hợp với Bộ Quốc phòng, Bộ Công an, các bộ, ngành, địa phương xây dựng, huấn luyện, diễn tập </w:t>
      </w:r>
    </w:p>
  </w:footnote>
  <w:footnote w:id="18">
    <w:p w14:paraId="265AE30B" w14:textId="77777777" w:rsidR="00BD588B" w:rsidRPr="00AD5C49" w:rsidRDefault="00BD588B" w:rsidP="00B0461A">
      <w:pPr>
        <w:pStyle w:val="FootnoteText"/>
        <w:jc w:val="both"/>
        <w:rPr>
          <w:lang w:val="vi-VN"/>
        </w:rPr>
      </w:pPr>
      <w:r w:rsidRPr="00AD5C49">
        <w:rPr>
          <w:rStyle w:val="FootnoteReference"/>
          <w:lang w:val="vi-VN"/>
        </w:rPr>
        <w:footnoteRef/>
      </w:r>
      <w:r w:rsidRPr="00AD5C49">
        <w:rPr>
          <w:lang w:val="vi-VN"/>
        </w:rPr>
        <w:t xml:space="preserve"> Tập huấn về nhận diện xử lý hàng hóa liên quan đến hóa học, sinh học, phóng xạ, hạt nhân và chất nổ cho các Đơn vị đầu mối miền Trung (16-20/5/2022; 25 đại biểu tham dự); Tập huấn về nhận diện xử lý hàng hóa liên quan đến hóa học, sinh học, phóng xạ, hạt nhân và chất nổ cho các Đơn vị đầu mối miền Bắc (09-11/11/2022; 30 đại biển tham dự);Tập huấn về nhận diện xử lý hàng hóa liên quan đến hóa học, sinh học, phóng xạ, hạt nhân và chất nổ cho các Đơn vị đầu mối miền Nam (22-25/7/2024; 38 đại biển tham dự trực tiếp, 140 đại biểu tham dự trực tuyến); Tập huấn về phòng, chống phổ biến WMD cho Bộ đội Biên phòng và Cảnh sát biển Việt Nam (28-29/10/2024; 40 đại biển tham dự); Khóa học phát hiện, điều tra, phân tích và ngăn chặn hoạt động tài trợ phổ biến WMD (13-16/11/2022, 25 đại biểu tham gia trực tiếp và 45 đại biểu trực tuyến); Tập huấn về chống tài trợ phổ biến WMD (07-08/3/2024; 27 đại biểu tham gia trực tiếp, 50 tham gia trực tuyến).</w:t>
      </w:r>
    </w:p>
  </w:footnote>
  <w:footnote w:id="19">
    <w:p w14:paraId="07C4D98B" w14:textId="77777777" w:rsidR="00BD588B" w:rsidRPr="00AD5C49" w:rsidRDefault="00BD588B" w:rsidP="00B0461A">
      <w:pPr>
        <w:pStyle w:val="FootnoteText"/>
        <w:jc w:val="both"/>
        <w:rPr>
          <w:lang w:val="vi-VN"/>
        </w:rPr>
      </w:pPr>
      <w:r w:rsidRPr="00AD5C49">
        <w:rPr>
          <w:rStyle w:val="FootnoteReference"/>
          <w:lang w:val="vi-VN"/>
        </w:rPr>
        <w:footnoteRef/>
      </w:r>
      <w:r w:rsidRPr="00AD5C49">
        <w:rPr>
          <w:lang w:val="vi-VN"/>
        </w:rPr>
        <w:t xml:space="preserve"> Cơ quan thường trực 81 đã phối hợp với Chương trình EXBS, EU P2P và các cơ quan chức năng tổ chức 10 hội thảo về lộ trình xây dựng và hoàn thiện khung pháp lý của Việt Nam trong phòng, chống phổ biến WMD; 03 tập huấn về nhận diện hàng hóa lưỡng dụng liên quan đến CBRNE cho các Đơn vị đầu mối về phòng, chống phổ biến WMD; 02 tập huấn, khóa học về chống tài trợ phổ biến WMD dành cho các tổ chức tài chính, các cơ quan quản lý; 03 hội thảo về chống phổ biến vũ khí sinh học. Cử trên 100 lượt cán bộ tham dự 75 hội nghị, hội thảo, tập huấn, khóa học về phòng, chóng phổ biến, tài trợ phổ biến WMD, chống rửa tiền, kiểm soát xuất khẩu hàng hóa lưỡng dụng và ứng phó sự cố CBRN do các Tổ chức quốc tế như IAEA, OPCW, Mạng lưới chuyên gia quân sự ASEAN về CBR và các đối tác quốc tế tổ chức tại nước ngoài.</w:t>
      </w:r>
    </w:p>
    <w:p w14:paraId="25DA53FB" w14:textId="5E85EFB0" w:rsidR="00BD588B" w:rsidRPr="00FD3967" w:rsidRDefault="00BD588B" w:rsidP="00B0461A">
      <w:pPr>
        <w:pStyle w:val="FootnoteText"/>
        <w:jc w:val="both"/>
        <w:rPr>
          <w:lang w:val="vi-VN"/>
        </w:rPr>
      </w:pPr>
      <w:r w:rsidRPr="00AD5C49">
        <w:rPr>
          <w:lang w:val="vi-VN"/>
        </w:rPr>
        <w:t xml:space="preserve">Bộ Công an đã </w:t>
      </w:r>
      <w:r w:rsidRPr="00FD3967">
        <w:rPr>
          <w:lang w:val="vi-VN"/>
        </w:rPr>
        <w:t>chủ trì, phối hợp với các cơ quan chức năng</w:t>
      </w:r>
      <w:r w:rsidRPr="00AD5C49">
        <w:rPr>
          <w:lang w:val="vi-VN"/>
        </w:rPr>
        <w:t xml:space="preserve"> tổ chức 03 hội thảo về rửa tiền, tài trợ khủng bố; tham gia 03 dự án của INTERPOL liên quan đến </w:t>
      </w:r>
      <w:r>
        <w:rPr>
          <w:lang w:val="vi-VN"/>
        </w:rPr>
        <w:t>WMD</w:t>
      </w:r>
      <w:r w:rsidRPr="00AD5C49">
        <w:rPr>
          <w:lang w:val="vi-VN"/>
        </w:rPr>
        <w:t>:  “Nâng cao về điều tra rửa tiền và tài trợ khủng bố” tại Ninh Bình, từ 22-25/7/2024; “Ngăn chặn việc khai thác dịch vụ chuyển giá trị tiền (MVTS), Hawala và ngân hầng ngầm trong rửa tiền và tài trợ khủng bố” tại Quảng Ninh, từ 29/7-01/8/2024; “Cách thức gây cản trở dòng tài chính bất hợp pháp” tại Hải Phòng, từ 07-10/10/2024; Dự án Geiger về chống khủng bố sử dụng vật liệu phóng xạ, hạt nhân khu vực Đông Nam Á; Dự án Watchmaker về phòng, chống tội phạm khủng bố sử dụng các chất hóa học và vật liệu nổ, thiết bị nổ tự chế khu vực Đông Nam Á; Dự án Pandora về nâng cao năng lực phòng, chống khủng bố sinh học sử dụng các trang web ngầm khu vực Đông Nam Á</w:t>
      </w:r>
      <w:r w:rsidRPr="00FD3967">
        <w:rPr>
          <w:lang w:val="vi-VN"/>
        </w:rPr>
        <w:t>.</w:t>
      </w:r>
    </w:p>
    <w:p w14:paraId="43D49DA6" w14:textId="35EECF48" w:rsidR="00BD588B" w:rsidRPr="00FD3967" w:rsidRDefault="00BD588B" w:rsidP="00B0461A">
      <w:pPr>
        <w:pStyle w:val="FootnoteText"/>
        <w:jc w:val="both"/>
        <w:rPr>
          <w:lang w:val="vi-VN"/>
        </w:rPr>
      </w:pPr>
      <w:r w:rsidRPr="00AD5C49">
        <w:rPr>
          <w:lang w:val="vi-VN"/>
        </w:rPr>
        <w:t xml:space="preserve">Cục Hải quan (Bộ Tài chính) đã tham gia các hoạt động hợp tác quốc tế với các đối tác như Chương trình EXBS, Chương trình cảng lớn (Megaport), Chương trình phòng chống ma túy quốc tế (INL), EU P2P, IAEA và Cơ quan phòng chống tội phạm và ma túy của Liên hợp quốc (UNODC) và tiếp nhận tài trợ từ các tổ chức này các trang thiết bị phát hiện chất phóng xạ, thiết bị đào tạo nhận diện hàng hóa lưỡng dụng và cử cán bộ, công chức tham gia các lớp tập huấn nhằm tăng cường và nâng cao năng lực cho cán bộ, công chức trong thực hiện nhiệm vụ phòng, chống phổ biến </w:t>
      </w:r>
      <w:r>
        <w:rPr>
          <w:lang w:val="vi-VN"/>
        </w:rPr>
        <w:t>WMD</w:t>
      </w:r>
      <w:r w:rsidRPr="00AD5C49">
        <w:rPr>
          <w:lang w:val="vi-VN"/>
        </w:rPr>
        <w:t xml:space="preserve"> trong ngành hải quan; tham gia các chiến dịch, chương trình, dự án chuyên đề như Chiến dịch chống buôn bán trái phép các chất hóa học, sinh học, phóng xạ, hạt nhân và hàng hóa lưỡng dụng (Chiến dịch Cosmo) do Tổ chức Hải quan Thế giới (WCO) tổ chức</w:t>
      </w:r>
      <w:r w:rsidRPr="00FD3967">
        <w:rPr>
          <w:lang w:val="vi-VN"/>
        </w:rPr>
        <w:t>.</w:t>
      </w:r>
    </w:p>
  </w:footnote>
  <w:footnote w:id="20">
    <w:p w14:paraId="0DF9A76B" w14:textId="77777777" w:rsidR="00BD588B" w:rsidRDefault="00BD588B" w:rsidP="00F33B58">
      <w:pPr>
        <w:pStyle w:val="FootnoteText"/>
      </w:pPr>
      <w:r>
        <w:rPr>
          <w:rStyle w:val="FootnoteReference"/>
        </w:rPr>
        <w:footnoteRef/>
      </w:r>
      <w:r>
        <w:t xml:space="preserve"> </w:t>
      </w:r>
      <w:r w:rsidRPr="00F218BF">
        <w:t>Bộ Tài chính, Báo cáo cải cách kiểm tra chuyên ngành đối với hàng hóa xuất nhập khẩu, 2023</w:t>
      </w:r>
      <w:r>
        <w:t>.</w:t>
      </w:r>
    </w:p>
  </w:footnote>
  <w:footnote w:id="21">
    <w:p w14:paraId="3D986121" w14:textId="77777777" w:rsidR="00BD588B" w:rsidRDefault="00BD588B" w:rsidP="00F33B58">
      <w:pPr>
        <w:pStyle w:val="FootnoteText"/>
      </w:pPr>
      <w:r>
        <w:rPr>
          <w:rStyle w:val="FootnoteReference"/>
        </w:rPr>
        <w:footnoteRef/>
      </w:r>
      <w:r>
        <w:t xml:space="preserve"> </w:t>
      </w:r>
      <w:r w:rsidRPr="00090B52">
        <w:t>Hiệp hội Doanh nghiệp Dịch vụ Logistics Việt Nam (VLA), Báo cáo Logistics Việt Nam, 2023.</w:t>
      </w:r>
    </w:p>
  </w:footnote>
  <w:footnote w:id="22">
    <w:p w14:paraId="19D2FDBE" w14:textId="77777777" w:rsidR="00BD588B" w:rsidRDefault="00BD588B" w:rsidP="00F33B58">
      <w:pPr>
        <w:pStyle w:val="FootnoteText"/>
      </w:pPr>
      <w:r>
        <w:rPr>
          <w:rStyle w:val="FootnoteReference"/>
        </w:rPr>
        <w:footnoteRef/>
      </w:r>
      <w:r>
        <w:t xml:space="preserve"> </w:t>
      </w:r>
      <w:r w:rsidRPr="00090B52">
        <w:rPr>
          <w:spacing w:val="-10"/>
        </w:rPr>
        <w:t>Phòng Thương mại và Công nghiệp Việt Nam (VCCI), Báo cáo chi phí tuân thủ thủ tục hành chính, 2022-2023.</w:t>
      </w:r>
    </w:p>
  </w:footnote>
  <w:footnote w:id="23">
    <w:p w14:paraId="4E5D11D4" w14:textId="77777777" w:rsidR="00BD588B" w:rsidRPr="00090B52" w:rsidRDefault="00BD588B" w:rsidP="00F33B58">
      <w:pPr>
        <w:jc w:val="both"/>
        <w:rPr>
          <w:sz w:val="20"/>
          <w:szCs w:val="20"/>
        </w:rPr>
      </w:pPr>
      <w:r w:rsidRPr="00090B52">
        <w:rPr>
          <w:rStyle w:val="FootnoteReference"/>
          <w:sz w:val="20"/>
          <w:szCs w:val="20"/>
        </w:rPr>
        <w:footnoteRef/>
      </w:r>
      <w:r w:rsidRPr="00090B52">
        <w:rPr>
          <w:sz w:val="20"/>
          <w:szCs w:val="20"/>
        </w:rPr>
        <w:t xml:space="preserve">Tác động kinh tế của việc FATF đưa vào danh sách xám; nguồn: </w:t>
      </w:r>
      <w:r w:rsidRPr="00090B52">
        <w:rPr>
          <w:i/>
          <w:iCs/>
          <w:sz w:val="20"/>
          <w:szCs w:val="20"/>
        </w:rPr>
        <w:t>The Impact of Gray-Listing on Capital Flows: An Analysis Using Machine Learning</w:t>
      </w:r>
      <w:r w:rsidRPr="00090B52">
        <w:rPr>
          <w:sz w:val="20"/>
          <w:szCs w:val="20"/>
        </w:rPr>
        <w:t xml:space="preserve"> (IMF Working Paper No. 2021/153).</w:t>
      </w:r>
    </w:p>
  </w:footnote>
  <w:footnote w:id="24">
    <w:p w14:paraId="6381C782" w14:textId="77777777" w:rsidR="00BD588B" w:rsidRPr="00B120DC" w:rsidRDefault="00BD588B" w:rsidP="00F33B58">
      <w:pPr>
        <w:pStyle w:val="FootnoteText"/>
      </w:pPr>
      <w:r w:rsidRPr="00B120DC">
        <w:rPr>
          <w:rStyle w:val="FootnoteReference"/>
        </w:rPr>
        <w:footnoteRef/>
      </w:r>
      <w:r w:rsidRPr="00B120DC">
        <w:t xml:space="preserve"> Tổng cục Thống kê (GSO), Báo cáo lao động - việc làm 2024.</w:t>
      </w:r>
    </w:p>
  </w:footnote>
  <w:footnote w:id="25">
    <w:p w14:paraId="04CFA9BC" w14:textId="77777777" w:rsidR="00BD588B" w:rsidRPr="00B120DC" w:rsidRDefault="00BD588B" w:rsidP="00F33B58">
      <w:pPr>
        <w:pStyle w:val="FootnoteText"/>
      </w:pPr>
      <w:r w:rsidRPr="00B120DC">
        <w:rPr>
          <w:rStyle w:val="FootnoteReference"/>
        </w:rPr>
        <w:footnoteRef/>
      </w:r>
      <w:r w:rsidRPr="00B120DC">
        <w:t xml:space="preserve"> Hiệp hội Doanh nghiệp dịch vụ logistics Việt Nam (VLA), Báo cáo ngành logistics.</w:t>
      </w:r>
    </w:p>
  </w:footnote>
  <w:footnote w:id="26">
    <w:p w14:paraId="2DAF4D2B" w14:textId="77777777" w:rsidR="00BD588B" w:rsidRPr="00B120DC" w:rsidRDefault="00BD588B" w:rsidP="00F33B58">
      <w:pPr>
        <w:pStyle w:val="FootnoteText"/>
      </w:pPr>
      <w:r w:rsidRPr="00B120DC">
        <w:rPr>
          <w:rStyle w:val="FootnoteReference"/>
        </w:rPr>
        <w:footnoteRef/>
      </w:r>
      <w:r w:rsidRPr="00B120DC">
        <w:t xml:space="preserve"> Phòng Thương mại và Công nghiệp Việt Nam (VCCI), PCI 2023 và khảo sát chi phí tuân thủ.</w:t>
      </w:r>
    </w:p>
  </w:footnote>
  <w:footnote w:id="27">
    <w:p w14:paraId="3930231E" w14:textId="77777777" w:rsidR="00BD588B" w:rsidRPr="009832A6" w:rsidRDefault="00BD588B" w:rsidP="00F33B58">
      <w:pPr>
        <w:jc w:val="both"/>
        <w:rPr>
          <w:bCs/>
          <w:color w:val="000000" w:themeColor="text1"/>
          <w:sz w:val="20"/>
          <w:szCs w:val="20"/>
        </w:rPr>
      </w:pPr>
      <w:r w:rsidRPr="00B120DC">
        <w:rPr>
          <w:rStyle w:val="FootnoteReference"/>
          <w:sz w:val="20"/>
          <w:szCs w:val="20"/>
        </w:rPr>
        <w:footnoteRef/>
      </w:r>
      <w:r w:rsidRPr="00B120DC">
        <w:rPr>
          <w:sz w:val="20"/>
          <w:szCs w:val="20"/>
        </w:rPr>
        <w:t xml:space="preserve"> </w:t>
      </w:r>
      <w:r w:rsidRPr="00B120DC">
        <w:rPr>
          <w:bCs/>
          <w:color w:val="000000" w:themeColor="text1"/>
          <w:sz w:val="20"/>
          <w:szCs w:val="20"/>
        </w:rPr>
        <w:t xml:space="preserve">Bộ Lao động </w:t>
      </w:r>
      <w:r>
        <w:rPr>
          <w:bCs/>
          <w:color w:val="000000" w:themeColor="text1"/>
          <w:sz w:val="20"/>
          <w:szCs w:val="20"/>
        </w:rPr>
        <w:t>-</w:t>
      </w:r>
      <w:r w:rsidRPr="00B120DC">
        <w:rPr>
          <w:bCs/>
          <w:color w:val="000000" w:themeColor="text1"/>
          <w:sz w:val="20"/>
          <w:szCs w:val="20"/>
        </w:rPr>
        <w:t xml:space="preserve"> Thương binh và Xã hội, Báo cáo thị trường lao động 2023.</w:t>
      </w:r>
    </w:p>
  </w:footnote>
  <w:footnote w:id="28">
    <w:p w14:paraId="06C00E18" w14:textId="77777777" w:rsidR="00BD588B" w:rsidRDefault="00BD588B" w:rsidP="00F33B58">
      <w:pPr>
        <w:pStyle w:val="FootnoteText"/>
      </w:pPr>
      <w:r>
        <w:rPr>
          <w:rStyle w:val="FootnoteReference"/>
        </w:rPr>
        <w:footnoteRef/>
      </w:r>
      <w:r>
        <w:t xml:space="preserve"> </w:t>
      </w:r>
      <w:r w:rsidRPr="00B120DC">
        <w:t>IMF Working Paper WP/21/153 (2021), phân tích tác động của FATF grey list đối với dòng vốn.</w:t>
      </w:r>
    </w:p>
  </w:footnote>
  <w:footnote w:id="29">
    <w:p w14:paraId="10E95A2E" w14:textId="77777777" w:rsidR="00BD588B" w:rsidRDefault="00BD588B" w:rsidP="00F33B58">
      <w:pPr>
        <w:pStyle w:val="FootnoteText"/>
      </w:pPr>
      <w:r>
        <w:rPr>
          <w:rStyle w:val="FootnoteReference"/>
        </w:rPr>
        <w:footnoteRef/>
      </w:r>
      <w:r>
        <w:t xml:space="preserve"> </w:t>
      </w:r>
      <w:r w:rsidRPr="00634BEA">
        <w:t>Bộ Văn hóa, Thể thao và Du lịch (2024) - Thông tin kiểm kê di sản văn hóa toàn quốc.</w:t>
      </w:r>
    </w:p>
  </w:footnote>
  <w:footnote w:id="30">
    <w:p w14:paraId="633557AC" w14:textId="77777777" w:rsidR="00BD588B" w:rsidRDefault="00BD588B" w:rsidP="00F33B58">
      <w:pPr>
        <w:pStyle w:val="FootnoteText"/>
      </w:pPr>
      <w:r>
        <w:rPr>
          <w:rStyle w:val="FootnoteReference"/>
        </w:rPr>
        <w:footnoteRef/>
      </w:r>
      <w:r>
        <w:t xml:space="preserve"> </w:t>
      </w:r>
      <w:r w:rsidRPr="00634BEA">
        <w:t>Bộ Giáo dục và Đào tạo - Thống kê giáo dục năm học 2024</w:t>
      </w:r>
      <w:r>
        <w:t>-</w:t>
      </w:r>
      <w:r w:rsidRPr="00634BEA">
        <w:t>2025.</w:t>
      </w:r>
    </w:p>
  </w:footnote>
  <w:footnote w:id="31">
    <w:p w14:paraId="10714DD5" w14:textId="77777777" w:rsidR="00BD588B" w:rsidRPr="009832A6" w:rsidRDefault="00BD588B" w:rsidP="00F33B58">
      <w:pPr>
        <w:pStyle w:val="FootnoteText"/>
        <w:jc w:val="both"/>
        <w:rPr>
          <w:color w:val="000000" w:themeColor="text1"/>
        </w:rPr>
      </w:pPr>
      <w:r w:rsidRPr="009832A6">
        <w:rPr>
          <w:rStyle w:val="FootnoteReference"/>
          <w:color w:val="000000" w:themeColor="text1"/>
        </w:rPr>
        <w:footnoteRef/>
      </w:r>
      <w:r w:rsidRPr="009832A6">
        <w:rPr>
          <w:color w:val="000000" w:themeColor="text1"/>
        </w:rPr>
        <w:t xml:space="preserve"> Thống kê sinh viên theo khối ngành năm 2024-2025 (để đối chiếu quy mô hệ thống đại học). Nguồn </w:t>
      </w:r>
      <w:hyperlink r:id="rId1" w:tgtFrame="_new" w:history="1">
        <w:r w:rsidRPr="009832A6">
          <w:rPr>
            <w:rStyle w:val="Hyperlink"/>
            <w:color w:val="000000" w:themeColor="text1"/>
            <w:u w:val="none"/>
          </w:rPr>
          <w:t>https://vtv.vn/nganh-hoc-nao-co-so-luong-sinh-vien-dong-nhat-nam-hoc-2024-2025-100250924110159154.htm</w:t>
        </w:r>
      </w:hyperlink>
    </w:p>
  </w:footnote>
  <w:footnote w:id="32">
    <w:p w14:paraId="65C3B0E1" w14:textId="77777777" w:rsidR="00BD588B" w:rsidRDefault="00BD588B" w:rsidP="00F33B58">
      <w:pPr>
        <w:pStyle w:val="FootnoteText"/>
        <w:jc w:val="both"/>
      </w:pPr>
      <w:r w:rsidRPr="009832A6">
        <w:rPr>
          <w:rStyle w:val="FootnoteReference"/>
          <w:color w:val="000000" w:themeColor="text1"/>
        </w:rPr>
        <w:footnoteRef/>
      </w:r>
      <w:r w:rsidRPr="009832A6">
        <w:rPr>
          <w:color w:val="000000" w:themeColor="text1"/>
        </w:rPr>
        <w:t xml:space="preserve"> </w:t>
      </w:r>
      <w:r w:rsidRPr="009832A6">
        <w:rPr>
          <w:color w:val="000000" w:themeColor="text1"/>
          <w:spacing w:val="-6"/>
        </w:rPr>
        <w:t xml:space="preserve">Bộ Y tế (2023) - Báo cáo hệ thống phòng xét nghiệm và năng lực giám sát dịch bệnh. Nguồn: </w:t>
      </w:r>
      <w:hyperlink r:id="rId2" w:history="1">
        <w:r w:rsidRPr="009832A6">
          <w:rPr>
            <w:rStyle w:val="Hyperlink"/>
            <w:color w:val="000000" w:themeColor="text1"/>
            <w:spacing w:val="-6"/>
            <w:u w:val="none"/>
          </w:rPr>
          <w:t>https://moh.gov.vn</w:t>
        </w:r>
      </w:hyperlink>
    </w:p>
  </w:footnote>
  <w:footnote w:id="33">
    <w:p w14:paraId="1F65930A" w14:textId="77777777" w:rsidR="00BD588B" w:rsidRDefault="00BD588B" w:rsidP="00F33B58">
      <w:pPr>
        <w:pStyle w:val="FootnoteText"/>
      </w:pPr>
      <w:r w:rsidRPr="00284399">
        <w:rPr>
          <w:rStyle w:val="FootnoteReference"/>
        </w:rPr>
        <w:footnoteRef/>
      </w:r>
      <w:r w:rsidRPr="00284399">
        <w:t xml:space="preserve"> Bộ Y tế (2024) </w:t>
      </w:r>
      <w:r>
        <w:t>-</w:t>
      </w:r>
      <w:r w:rsidRPr="00284399">
        <w:t xml:space="preserve"> Thống kê trang thiết bị y tế loại C, D đã đăng ký lưu hành.</w:t>
      </w:r>
      <w:r>
        <w:t xml:space="preserve"> Nguồn: </w:t>
      </w:r>
      <w:r w:rsidRPr="00284399">
        <w:t>https://dmec.moh.gov.vn</w:t>
      </w:r>
    </w:p>
  </w:footnote>
  <w:footnote w:id="34">
    <w:p w14:paraId="16C69E4F" w14:textId="04974DBE" w:rsidR="00BD588B" w:rsidRDefault="00BD588B" w:rsidP="00F33B58">
      <w:pPr>
        <w:pStyle w:val="FootnoteText"/>
      </w:pPr>
      <w:r>
        <w:rPr>
          <w:rStyle w:val="FootnoteReference"/>
        </w:rPr>
        <w:footnoteRef/>
      </w:r>
      <w:r>
        <w:t xml:space="preserve"> </w:t>
      </w:r>
      <w:r w:rsidRPr="00284399">
        <w:t xml:space="preserve">Bộ Y tế (2024) </w:t>
      </w:r>
      <w:r>
        <w:t>-</w:t>
      </w:r>
      <w:r w:rsidRPr="00284399">
        <w:t xml:space="preserve"> Báo cáo về biên chế và viên chức ngành y tế.</w:t>
      </w:r>
      <w:r>
        <w:t xml:space="preserve"> Nguồn: </w:t>
      </w:r>
      <w:hyperlink r:id="rId3" w:history="1">
        <w:r w:rsidRPr="005A5602">
          <w:rPr>
            <w:rStyle w:val="Hyperlink"/>
            <w:u w:val="none"/>
          </w:rPr>
          <w:t>https://moh.gov.vn</w:t>
        </w:r>
      </w:hyperlink>
    </w:p>
  </w:footnote>
  <w:footnote w:id="35">
    <w:p w14:paraId="5CB3EE9A" w14:textId="77777777" w:rsidR="00BD588B" w:rsidRDefault="00BD588B" w:rsidP="00F33B58">
      <w:pPr>
        <w:pStyle w:val="FootnoteText"/>
        <w:jc w:val="both"/>
      </w:pPr>
      <w:r>
        <w:rPr>
          <w:rStyle w:val="FootnoteReference"/>
        </w:rPr>
        <w:footnoteRef/>
      </w:r>
      <w:r>
        <w:t xml:space="preserve"> </w:t>
      </w:r>
      <w:r w:rsidRPr="00284399">
        <w:t xml:space="preserve">Bộ Tài nguyên và Môi trường (MONRE, 2023–2024) </w:t>
      </w:r>
      <w:r>
        <w:t>-</w:t>
      </w:r>
      <w:r w:rsidRPr="00284399">
        <w:t xml:space="preserve"> Báo cáo môi trường quốc gia; thống kê chất thải rắn sinh hoạt, chất thải nguy hại.</w:t>
      </w:r>
      <w:r>
        <w:t xml:space="preserve"> </w:t>
      </w:r>
    </w:p>
  </w:footnote>
  <w:footnote w:id="36">
    <w:p w14:paraId="7DD562BB" w14:textId="77777777" w:rsidR="00BD588B" w:rsidRPr="006C2E44" w:rsidRDefault="00BD588B" w:rsidP="00F33B58">
      <w:pPr>
        <w:pStyle w:val="FootnoteText"/>
        <w:jc w:val="both"/>
      </w:pPr>
      <w:r>
        <w:rPr>
          <w:rStyle w:val="FootnoteReference"/>
        </w:rPr>
        <w:footnoteRef/>
      </w:r>
      <w:r>
        <w:t xml:space="preserve"> </w:t>
      </w:r>
      <w:r w:rsidRPr="006C2E44">
        <w:t xml:space="preserve">Cục An toàn bức xạ và hạt nhân </w:t>
      </w:r>
      <w:r>
        <w:t>-</w:t>
      </w:r>
      <w:r w:rsidRPr="006C2E44">
        <w:t xml:space="preserve"> Bộ Khoa học và Công nghệ (MOST, 2023) </w:t>
      </w:r>
      <w:r>
        <w:t>-</w:t>
      </w:r>
      <w:r w:rsidRPr="006C2E44">
        <w:t xml:space="preserve"> Báo cáo tổng hợp quản lý nguồn phóng xạ và thiết bị bức xạ.</w:t>
      </w:r>
      <w:r>
        <w:t xml:space="preserve"> </w:t>
      </w:r>
    </w:p>
  </w:footnote>
  <w:footnote w:id="37">
    <w:p w14:paraId="7E39A980" w14:textId="77777777" w:rsidR="00BD588B" w:rsidRDefault="00BD588B" w:rsidP="00F33B58">
      <w:pPr>
        <w:pStyle w:val="FootnoteText"/>
        <w:jc w:val="both"/>
      </w:pPr>
      <w:r>
        <w:rPr>
          <w:rStyle w:val="FootnoteReference"/>
        </w:rPr>
        <w:footnoteRef/>
      </w:r>
      <w:r>
        <w:t xml:space="preserve"> </w:t>
      </w:r>
      <w:r w:rsidRPr="006C2E44">
        <w:t>World Bank (2020</w:t>
      </w:r>
      <w:r>
        <w:t>-</w:t>
      </w:r>
      <w:r w:rsidRPr="006C2E44">
        <w:t xml:space="preserve">2023) </w:t>
      </w:r>
      <w:r>
        <w:t>-</w:t>
      </w:r>
      <w:r w:rsidRPr="006C2E44">
        <w:t xml:space="preserve"> Báo cáo thiệt hại môi trường và chi phí khắc phục sự cố hóa chất.</w:t>
      </w:r>
    </w:p>
  </w:footnote>
  <w:footnote w:id="38">
    <w:p w14:paraId="0528803A" w14:textId="77777777" w:rsidR="00BD588B" w:rsidRPr="00060A93" w:rsidRDefault="00BD588B" w:rsidP="00F33B58">
      <w:pPr>
        <w:pStyle w:val="FootnoteText"/>
        <w:jc w:val="both"/>
        <w:rPr>
          <w:spacing w:val="-6"/>
        </w:rPr>
      </w:pPr>
      <w:r>
        <w:rPr>
          <w:rStyle w:val="FootnoteReference"/>
        </w:rPr>
        <w:footnoteRef/>
      </w:r>
      <w:r>
        <w:t xml:space="preserve"> </w:t>
      </w:r>
      <w:r w:rsidRPr="00060A93">
        <w:rPr>
          <w:spacing w:val="-6"/>
        </w:rPr>
        <w:t>Bộ Công an (Cục An ninh mạng và phòng chống tội phạm công nghệ cao, 2023) - Thống kê sự cố an ninh mạng.</w:t>
      </w:r>
    </w:p>
  </w:footnote>
  <w:footnote w:id="39">
    <w:p w14:paraId="7DCBD3C2" w14:textId="77777777" w:rsidR="00BD588B" w:rsidRDefault="00BD588B" w:rsidP="00F33B58">
      <w:pPr>
        <w:pStyle w:val="FootnoteText"/>
      </w:pPr>
      <w:r>
        <w:rPr>
          <w:rStyle w:val="FootnoteReference"/>
        </w:rPr>
        <w:footnoteRef/>
      </w:r>
      <w:r>
        <w:t xml:space="preserve"> </w:t>
      </w:r>
      <w:r w:rsidRPr="003C61A3">
        <w:t xml:space="preserve">Bộ Nội vụ (2024) </w:t>
      </w:r>
      <w:r>
        <w:t>-</w:t>
      </w:r>
      <w:r w:rsidRPr="003C61A3">
        <w:t xml:space="preserve"> Báo cáo về cơ cấu, phân bổ nhân sự trong các lĩnh vực kỹ thuật </w:t>
      </w:r>
      <w:r>
        <w:t>-</w:t>
      </w:r>
      <w:r w:rsidRPr="003C61A3">
        <w:t xml:space="preserve"> an ninh phi truyền thống.</w:t>
      </w:r>
    </w:p>
  </w:footnote>
  <w:footnote w:id="40">
    <w:p w14:paraId="0F87BD81" w14:textId="77777777" w:rsidR="00BD588B" w:rsidRDefault="00BD588B" w:rsidP="00F33B58">
      <w:pPr>
        <w:pStyle w:val="FootnoteText"/>
        <w:jc w:val="both"/>
      </w:pPr>
      <w:r>
        <w:rPr>
          <w:rStyle w:val="FootnoteReference"/>
        </w:rPr>
        <w:footnoteRef/>
      </w:r>
      <w:r w:rsidRPr="003C61A3">
        <w:t xml:space="preserve"> </w:t>
      </w:r>
      <w:r w:rsidRPr="003C61A3">
        <w:rPr>
          <w:spacing w:val="-8"/>
        </w:rPr>
        <w:t xml:space="preserve">Bộ Thông tin và Truyền thông; VCCI (2024) - Số liệu kinh tế số và thương mại điện tử. Nguồn: </w:t>
      </w:r>
      <w:hyperlink r:id="rId4" w:history="1">
        <w:r w:rsidRPr="003C61A3">
          <w:rPr>
            <w:rStyle w:val="Hyperlink"/>
            <w:spacing w:val="-8"/>
            <w:u w:val="none"/>
          </w:rPr>
          <w:t>https://mic.gov.vn</w:t>
        </w:r>
      </w:hyperlink>
    </w:p>
  </w:footnote>
  <w:footnote w:id="41">
    <w:p w14:paraId="657DB36F" w14:textId="77777777" w:rsidR="00BD588B" w:rsidRDefault="00BD588B" w:rsidP="00F33B58">
      <w:pPr>
        <w:pStyle w:val="FootnoteText"/>
      </w:pPr>
      <w:r>
        <w:rPr>
          <w:rStyle w:val="FootnoteReference"/>
        </w:rPr>
        <w:footnoteRef/>
      </w:r>
      <w:r>
        <w:t xml:space="preserve"> </w:t>
      </w:r>
      <w:r w:rsidRPr="003C61A3">
        <w:rPr>
          <w:spacing w:val="-8"/>
        </w:rPr>
        <w:t>Văn phòng Chính phủ (2024) - Báo cáo Cổng Dịch vụ công Quốc gia (hơn 13,9 triệu hồ sơ trực tuyến/6 tháng).</w:t>
      </w:r>
    </w:p>
  </w:footnote>
  <w:footnote w:id="42">
    <w:p w14:paraId="2259A4A9" w14:textId="77777777" w:rsidR="00BD588B" w:rsidRPr="00D52576" w:rsidRDefault="00BD588B" w:rsidP="00F33B58">
      <w:pPr>
        <w:pStyle w:val="FootnoteText"/>
        <w:rPr>
          <w:spacing w:val="-4"/>
        </w:rPr>
      </w:pPr>
      <w:r w:rsidRPr="00D52576">
        <w:rPr>
          <w:rStyle w:val="FootnoteReference"/>
          <w:spacing w:val="-4"/>
        </w:rPr>
        <w:footnoteRef/>
      </w:r>
      <w:r w:rsidRPr="00D52576">
        <w:rPr>
          <w:spacing w:val="-4"/>
        </w:rPr>
        <w:t xml:space="preserve"> Bộ KH&amp;CN; Bộ Y tế (2023) - Thống kê hệ thống phòng thí nghiệm đạt chuẩn an toàn sinh học (BSL-2, BSL-3).</w:t>
      </w:r>
    </w:p>
  </w:footnote>
  <w:footnote w:id="43">
    <w:p w14:paraId="640E9A1E" w14:textId="77777777" w:rsidR="00BD588B" w:rsidRDefault="00BD588B" w:rsidP="0028110B">
      <w:pPr>
        <w:pStyle w:val="FootnoteText"/>
      </w:pPr>
      <w:r>
        <w:rPr>
          <w:rStyle w:val="FootnoteReference"/>
        </w:rPr>
        <w:footnoteRef/>
      </w:r>
      <w:r>
        <w:t xml:space="preserve"> </w:t>
      </w:r>
      <w:r w:rsidRPr="0096135E">
        <w:t xml:space="preserve">World Bank (Doing Business </w:t>
      </w:r>
      <w:r>
        <w:t>-</w:t>
      </w:r>
      <w:r w:rsidRPr="0096135E">
        <w:t xml:space="preserve"> 2020) </w:t>
      </w:r>
      <w:r>
        <w:t>-</w:t>
      </w:r>
      <w:r w:rsidRPr="0096135E">
        <w:t xml:space="preserve"> Số liệu thời gian thủ tục thuế và thủ tục xuất nhập khẩu.</w:t>
      </w:r>
    </w:p>
  </w:footnote>
  <w:footnote w:id="44">
    <w:p w14:paraId="1F3B6FFB" w14:textId="77777777" w:rsidR="00BD588B" w:rsidRDefault="00BD588B" w:rsidP="0028110B">
      <w:pPr>
        <w:pStyle w:val="FootnoteText"/>
      </w:pPr>
      <w:r>
        <w:rPr>
          <w:rStyle w:val="FootnoteReference"/>
        </w:rPr>
        <w:footnoteRef/>
      </w:r>
      <w:r>
        <w:t xml:space="preserve"> </w:t>
      </w:r>
      <w:r w:rsidRPr="0096135E">
        <w:t xml:space="preserve">PCI 2023 </w:t>
      </w:r>
      <w:r>
        <w:t>-</w:t>
      </w:r>
      <w:r w:rsidRPr="0096135E">
        <w:t xml:space="preserve"> VCCI </w:t>
      </w:r>
      <w:r>
        <w:t xml:space="preserve">- </w:t>
      </w:r>
      <w:r w:rsidRPr="0096135E">
        <w:t>Tỷ lệ doanh nghiệp phải bổ sung hồ sơ nhiều lần (58–60%).</w:t>
      </w:r>
    </w:p>
  </w:footnote>
  <w:footnote w:id="45">
    <w:p w14:paraId="4643A60F" w14:textId="77777777" w:rsidR="00BD588B" w:rsidRPr="0096135E" w:rsidRDefault="00BD588B" w:rsidP="0028110B">
      <w:pPr>
        <w:jc w:val="both"/>
        <w:rPr>
          <w:color w:val="000000" w:themeColor="text1"/>
          <w:sz w:val="20"/>
          <w:szCs w:val="20"/>
        </w:rPr>
      </w:pPr>
      <w:r w:rsidRPr="0096135E">
        <w:rPr>
          <w:rStyle w:val="FootnoteReference"/>
          <w:sz w:val="20"/>
          <w:szCs w:val="20"/>
        </w:rPr>
        <w:footnoteRef/>
      </w:r>
      <w:r w:rsidRPr="0096135E">
        <w:rPr>
          <w:sz w:val="20"/>
          <w:szCs w:val="20"/>
        </w:rPr>
        <w:t xml:space="preserve"> </w:t>
      </w:r>
      <w:r w:rsidRPr="0089328A">
        <w:rPr>
          <w:color w:val="000000" w:themeColor="text1"/>
          <w:sz w:val="20"/>
          <w:szCs w:val="20"/>
        </w:rPr>
        <w:t>VCCI (2022</w:t>
      </w:r>
      <w:r>
        <w:rPr>
          <w:color w:val="000000" w:themeColor="text1"/>
          <w:sz w:val="20"/>
          <w:szCs w:val="20"/>
        </w:rPr>
        <w:t>-</w:t>
      </w:r>
      <w:r w:rsidRPr="0089328A">
        <w:rPr>
          <w:color w:val="000000" w:themeColor="text1"/>
          <w:sz w:val="20"/>
          <w:szCs w:val="20"/>
        </w:rPr>
        <w:t xml:space="preserve">2023) </w:t>
      </w:r>
      <w:r>
        <w:rPr>
          <w:color w:val="000000" w:themeColor="text1"/>
          <w:sz w:val="20"/>
          <w:szCs w:val="20"/>
        </w:rPr>
        <w:t>-</w:t>
      </w:r>
      <w:r w:rsidRPr="0096135E">
        <w:rPr>
          <w:color w:val="000000" w:themeColor="text1"/>
          <w:sz w:val="20"/>
          <w:szCs w:val="20"/>
        </w:rPr>
        <w:t xml:space="preserve"> Khảo sát chi phí tuân thủ của doanh nghiệp trong lĩnh vực rủi ro cao.</w:t>
      </w:r>
    </w:p>
    <w:p w14:paraId="2C4657EE" w14:textId="77777777" w:rsidR="00BD588B" w:rsidRDefault="00BD588B" w:rsidP="00F33B58">
      <w:pPr>
        <w:pStyle w:val="FootnoteText"/>
      </w:pPr>
    </w:p>
  </w:footnote>
  <w:footnote w:id="46">
    <w:p w14:paraId="21A80E12" w14:textId="77777777" w:rsidR="00BD588B" w:rsidRPr="00C31E92" w:rsidRDefault="00BD588B" w:rsidP="00F33B58">
      <w:pPr>
        <w:pStyle w:val="FootnoteText"/>
      </w:pPr>
      <w:r w:rsidRPr="00C31E92">
        <w:rPr>
          <w:rStyle w:val="FootnoteReference"/>
        </w:rPr>
        <w:footnoteRef/>
      </w:r>
      <w:r w:rsidRPr="00C31E92">
        <w:t xml:space="preserve"> </w:t>
      </w:r>
      <w:r w:rsidRPr="00021B98">
        <w:rPr>
          <w:spacing w:val="-18"/>
        </w:rPr>
        <w:t>Hiệu quả từ việc tuân thủ các khuyến nghị của FATF. Nguồn: https://www.ppatk.go.id/backend/assets/images/publikasi/1716195339.</w:t>
      </w:r>
      <w:r w:rsidRPr="00C31E92">
        <w:t>pdf</w:t>
      </w:r>
      <w:r>
        <w:t>.</w:t>
      </w:r>
    </w:p>
  </w:footnote>
  <w:footnote w:id="47">
    <w:p w14:paraId="7B889EF0" w14:textId="01C7059E" w:rsidR="00BD588B" w:rsidRDefault="00BD588B">
      <w:pPr>
        <w:pStyle w:val="FootnoteText"/>
      </w:pPr>
      <w:r>
        <w:rPr>
          <w:rStyle w:val="FootnoteReference"/>
        </w:rPr>
        <w:footnoteRef/>
      </w:r>
      <w:r>
        <w:t xml:space="preserve"> </w:t>
      </w:r>
      <w:r w:rsidRPr="00DF7595">
        <w:t>https://home.treasury.gov/system/files/136/2022-National-Proliferation-Financing-Risk-Assessment.pdf</w:t>
      </w:r>
    </w:p>
  </w:footnote>
  <w:footnote w:id="48">
    <w:p w14:paraId="02AF6179" w14:textId="77777777" w:rsidR="00BD588B" w:rsidRPr="00F9636C" w:rsidRDefault="00BD588B" w:rsidP="00F33B58">
      <w:pPr>
        <w:pStyle w:val="FootnoteText"/>
      </w:pPr>
      <w:r w:rsidRPr="00F9636C">
        <w:rPr>
          <w:rStyle w:val="FootnoteReference"/>
        </w:rPr>
        <w:footnoteRef/>
      </w:r>
      <w:r w:rsidRPr="00F9636C">
        <w:t xml:space="preserve"> Văn phòng Chính phủ, Báo cáo cải cách thủ tục hành chính và kiểm soát TTHC giai đoạn 2021-2024.</w:t>
      </w:r>
    </w:p>
  </w:footnote>
  <w:footnote w:id="49">
    <w:p w14:paraId="1D3B0E2A" w14:textId="77777777" w:rsidR="00BD588B" w:rsidRPr="00F9636C" w:rsidRDefault="00BD588B" w:rsidP="00F33B58">
      <w:pPr>
        <w:pStyle w:val="FootnoteText"/>
      </w:pPr>
      <w:r w:rsidRPr="00F9636C">
        <w:rPr>
          <w:rStyle w:val="FootnoteReference"/>
        </w:rPr>
        <w:footnoteRef/>
      </w:r>
      <w:r w:rsidRPr="00F9636C">
        <w:t xml:space="preserve"> Bộ Tài chính, Báo cáo về cải cách kiểm tra chuyên ngành đối với hàng hóa xuất nhập khẩu.</w:t>
      </w:r>
    </w:p>
  </w:footnote>
  <w:footnote w:id="50">
    <w:p w14:paraId="7D9B255E" w14:textId="77777777" w:rsidR="00BD588B" w:rsidRPr="00F9636C" w:rsidRDefault="00BD588B" w:rsidP="00F33B58">
      <w:pPr>
        <w:pStyle w:val="FootnoteText"/>
      </w:pPr>
      <w:r w:rsidRPr="00F9636C">
        <w:rPr>
          <w:rStyle w:val="FootnoteReference"/>
        </w:rPr>
        <w:footnoteRef/>
      </w:r>
      <w:r w:rsidRPr="00F9636C">
        <w:t xml:space="preserve"> Bộ Nội vụ, Báo cáo PAR Index hằng năm.</w:t>
      </w:r>
    </w:p>
  </w:footnote>
  <w:footnote w:id="51">
    <w:p w14:paraId="43F57C43" w14:textId="77777777" w:rsidR="00BD588B" w:rsidRPr="00F9636C" w:rsidRDefault="00BD588B" w:rsidP="00F33B58">
      <w:pPr>
        <w:pStyle w:val="FootnoteText"/>
      </w:pPr>
      <w:r w:rsidRPr="00F9636C">
        <w:rPr>
          <w:rStyle w:val="FootnoteReference"/>
        </w:rPr>
        <w:footnoteRef/>
      </w:r>
      <w:r w:rsidRPr="00F9636C">
        <w:t xml:space="preserve"> Bộ Nội vụ, Báo cáo tổng kết thực hiện Nghị quyết số 39-NQ/TW và các chương trình tinh giản biên chế.</w:t>
      </w:r>
    </w:p>
  </w:footnote>
  <w:footnote w:id="52">
    <w:p w14:paraId="3BACEC95" w14:textId="77777777" w:rsidR="00BD588B" w:rsidRDefault="00BD588B" w:rsidP="00F33B58">
      <w:pPr>
        <w:pStyle w:val="FootnoteText"/>
      </w:pPr>
      <w:r>
        <w:rPr>
          <w:rStyle w:val="FootnoteReference"/>
        </w:rPr>
        <w:footnoteRef/>
      </w:r>
      <w:r>
        <w:t xml:space="preserve"> </w:t>
      </w:r>
      <w:r w:rsidRPr="00D46DD0">
        <w:t>Bộ Thông tin và Truyền thông, Báo cáo Chuyển đổi số quốc gia năm 2023, Hà Nội, 2024.</w:t>
      </w:r>
    </w:p>
  </w:footnote>
  <w:footnote w:id="53">
    <w:p w14:paraId="73FCEC96" w14:textId="77777777" w:rsidR="00BD588B" w:rsidRDefault="00BD588B" w:rsidP="00F33B58">
      <w:pPr>
        <w:pStyle w:val="FootnoteText"/>
      </w:pPr>
      <w:r>
        <w:rPr>
          <w:rStyle w:val="FootnoteReference"/>
        </w:rPr>
        <w:footnoteRef/>
      </w:r>
      <w:r>
        <w:t xml:space="preserve"> </w:t>
      </w:r>
      <w:r w:rsidRPr="00D46DD0">
        <w:t>Bộ Thông tin và Truyền thông, Báo cáo phát triển Chính phủ số và hạ tầng dữ liệu quốc gia năm 2023</w:t>
      </w:r>
      <w:r>
        <w:t>-</w:t>
      </w:r>
      <w:r w:rsidRPr="00D46DD0">
        <w:t>2024.</w:t>
      </w:r>
    </w:p>
  </w:footnote>
  <w:footnote w:id="54">
    <w:p w14:paraId="490D3C3D" w14:textId="77777777" w:rsidR="00BD588B" w:rsidRDefault="00BD588B" w:rsidP="00F33B58">
      <w:pPr>
        <w:pStyle w:val="FootnoteText"/>
      </w:pPr>
      <w:r>
        <w:rPr>
          <w:rStyle w:val="FootnoteReference"/>
        </w:rPr>
        <w:footnoteRef/>
      </w:r>
      <w:r>
        <w:t xml:space="preserve"> </w:t>
      </w:r>
      <w:r w:rsidRPr="00D46DD0">
        <w:t>UNESCO Institute for Statistics, Gross Domestic Expenditure on R&amp;D (GERD) Database, cập nhật 2023.</w:t>
      </w:r>
    </w:p>
  </w:footnote>
  <w:footnote w:id="55">
    <w:p w14:paraId="1BCCD2D8" w14:textId="77777777" w:rsidR="00BD588B" w:rsidRDefault="00BD588B" w:rsidP="00F33B58">
      <w:pPr>
        <w:pStyle w:val="FootnoteText"/>
      </w:pPr>
      <w:r>
        <w:rPr>
          <w:rStyle w:val="FootnoteReference"/>
        </w:rPr>
        <w:footnoteRef/>
      </w:r>
      <w:r>
        <w:t xml:space="preserve"> </w:t>
      </w:r>
      <w:r w:rsidRPr="005402A2">
        <w:t>Bộ Khoa học và Công nghệ, Báo cáo khoa học, công nghệ và đổi mới sáng tạo Việt Nam, 2023.</w:t>
      </w:r>
    </w:p>
  </w:footnote>
  <w:footnote w:id="56">
    <w:p w14:paraId="1BC1646A" w14:textId="77777777" w:rsidR="00BD588B" w:rsidRDefault="00BD588B" w:rsidP="00F33B58">
      <w:pPr>
        <w:pStyle w:val="FootnoteText"/>
      </w:pPr>
      <w:r>
        <w:rPr>
          <w:rStyle w:val="FootnoteReference"/>
        </w:rPr>
        <w:footnoteRef/>
      </w:r>
      <w:r>
        <w:t xml:space="preserve"> </w:t>
      </w:r>
      <w:r w:rsidRPr="00D46DD0">
        <w:t>Bộ Khoa học và Công nghệ, Báo cáo tổng kết thi hành Luật Khoa học và Công nghệ</w:t>
      </w:r>
      <w:r>
        <w:t>.</w:t>
      </w:r>
    </w:p>
  </w:footnote>
  <w:footnote w:id="57">
    <w:p w14:paraId="6535F5F8" w14:textId="77777777" w:rsidR="00BD588B" w:rsidRPr="00CF6796" w:rsidRDefault="00BD588B" w:rsidP="00F33B58">
      <w:pPr>
        <w:pStyle w:val="FootnoteText"/>
        <w:jc w:val="both"/>
        <w:rPr>
          <w:spacing w:val="-6"/>
        </w:rPr>
      </w:pPr>
      <w:r w:rsidRPr="00CF6796">
        <w:rPr>
          <w:rStyle w:val="FootnoteReference"/>
          <w:spacing w:val="-6"/>
        </w:rPr>
        <w:footnoteRef/>
      </w:r>
      <w:r w:rsidRPr="00CF6796">
        <w:rPr>
          <w:spacing w:val="-6"/>
        </w:rPr>
        <w:t xml:space="preserve"> Việt Nam đạt kỷ lục về giải ngân vốn FDI năm 2024. Nguồn: </w:t>
      </w:r>
      <w:hyperlink r:id="rId5" w:history="1">
        <w:r w:rsidRPr="00F9417C">
          <w:rPr>
            <w:rStyle w:val="Hyperlink"/>
            <w:spacing w:val="-6"/>
            <w:u w:val="none"/>
          </w:rPr>
          <w:t>https://en.vietnamplus.vn/vietnam-achieves-record-fdi-disbursement-in-2024</w:t>
        </w:r>
      </w:hyperlink>
      <w:r w:rsidRPr="00CF6796">
        <w:rPr>
          <w:spacing w:val="-6"/>
        </w:rPr>
        <w:t xml:space="preserve"> post307863.vnp#:~:text=Vietnam%E2%80%99s%20foreign%20direct%20investment%20,FIA</w:t>
      </w:r>
      <w:r>
        <w:rPr>
          <w:spacing w:val="-6"/>
        </w:rPr>
        <w:t>.</w:t>
      </w:r>
    </w:p>
  </w:footnote>
  <w:footnote w:id="58">
    <w:p w14:paraId="622A2586" w14:textId="77777777" w:rsidR="00BD588B" w:rsidRPr="008B4B49" w:rsidRDefault="00BD588B" w:rsidP="00F33B58">
      <w:pPr>
        <w:pStyle w:val="FootnoteText"/>
        <w:jc w:val="both"/>
        <w:rPr>
          <w:b/>
          <w:bCs/>
        </w:rPr>
      </w:pPr>
      <w:r>
        <w:rPr>
          <w:rStyle w:val="FootnoteReference"/>
        </w:rPr>
        <w:footnoteRef/>
      </w:r>
      <w:r>
        <w:t xml:space="preserve"> </w:t>
      </w:r>
      <w:r w:rsidRPr="008B4B49">
        <w:t>Tác động kinh tế của việc FATF đưa vào danh sách xám. Nguồn: https://www.whitecase.com/insight-alert/economic-impact-fatf-grey-listing#:~:text=,of%20GDP.%5E%7B14</w:t>
      </w:r>
      <w:r>
        <w:t>.</w:t>
      </w:r>
    </w:p>
    <w:p w14:paraId="05EE7E3E" w14:textId="77777777" w:rsidR="00BD588B" w:rsidRDefault="00BD588B" w:rsidP="00F33B58">
      <w:pPr>
        <w:pStyle w:val="FootnoteText"/>
      </w:pPr>
    </w:p>
  </w:footnote>
  <w:footnote w:id="59">
    <w:p w14:paraId="296DCDF7" w14:textId="77777777" w:rsidR="00BD588B" w:rsidRDefault="00BD588B" w:rsidP="00F33B58">
      <w:pPr>
        <w:pStyle w:val="FootnoteText"/>
      </w:pPr>
      <w:r>
        <w:rPr>
          <w:rStyle w:val="FootnoteReference"/>
        </w:rPr>
        <w:footnoteRef/>
      </w:r>
      <w:r>
        <w:t xml:space="preserve"> </w:t>
      </w:r>
      <w:r w:rsidRPr="00F02D35">
        <w:t xml:space="preserve">Tổng cục Thống kê, Báo cáo tình hình kinh tế </w:t>
      </w:r>
      <w:r>
        <w:t>-</w:t>
      </w:r>
      <w:r w:rsidRPr="00F02D35">
        <w:t xml:space="preserve"> xã hội 10 tháng năm 2025</w:t>
      </w:r>
      <w:r>
        <w:t>.</w:t>
      </w:r>
    </w:p>
  </w:footnote>
  <w:footnote w:id="60">
    <w:p w14:paraId="74835478" w14:textId="77777777" w:rsidR="00BD588B" w:rsidRDefault="00BD588B" w:rsidP="00F33B58">
      <w:pPr>
        <w:pStyle w:val="FootnoteText"/>
      </w:pPr>
      <w:r>
        <w:rPr>
          <w:rStyle w:val="FootnoteReference"/>
        </w:rPr>
        <w:footnoteRef/>
      </w:r>
      <w:r>
        <w:t xml:space="preserve"> </w:t>
      </w:r>
      <w:r w:rsidRPr="00F02D35">
        <w:t>Hiệp hội Doanh nghiệp Dịch vụ Logistics Việt Nam (VLA), Báo cáo thường niên Logistics Việt Nam 2024.</w:t>
      </w:r>
    </w:p>
  </w:footnote>
  <w:footnote w:id="61">
    <w:p w14:paraId="6D4C7454" w14:textId="77777777" w:rsidR="00BD588B" w:rsidRDefault="00BD588B" w:rsidP="00F33B58">
      <w:pPr>
        <w:pStyle w:val="FootnoteText"/>
      </w:pPr>
      <w:r>
        <w:rPr>
          <w:rStyle w:val="FootnoteReference"/>
        </w:rPr>
        <w:footnoteRef/>
      </w:r>
      <w:r>
        <w:t xml:space="preserve"> </w:t>
      </w:r>
      <w:r w:rsidRPr="00F02D35">
        <w:t>IMF, Working Paper No. WP/21/153, 2021.</w:t>
      </w:r>
    </w:p>
  </w:footnote>
  <w:footnote w:id="62">
    <w:p w14:paraId="2917BAB8" w14:textId="77777777" w:rsidR="00BD588B" w:rsidRDefault="00BD588B" w:rsidP="00F33B58">
      <w:pPr>
        <w:pStyle w:val="FootnoteText"/>
      </w:pPr>
      <w:r>
        <w:rPr>
          <w:rStyle w:val="FootnoteReference"/>
        </w:rPr>
        <w:footnoteRef/>
      </w:r>
      <w:r>
        <w:t xml:space="preserve"> </w:t>
      </w:r>
      <w:r w:rsidRPr="00F02D35">
        <w:t xml:space="preserve">Bộ Lao động </w:t>
      </w:r>
      <w:r>
        <w:t>-</w:t>
      </w:r>
      <w:r w:rsidRPr="00F02D35">
        <w:t xml:space="preserve"> Thương binh và Xã hội, Báo cáo thị trường lao động năm 2022.</w:t>
      </w:r>
    </w:p>
  </w:footnote>
  <w:footnote w:id="63">
    <w:p w14:paraId="0E62F698" w14:textId="77777777" w:rsidR="00BD588B" w:rsidRPr="00EC1F0E" w:rsidRDefault="00BD588B" w:rsidP="00F33B58">
      <w:pPr>
        <w:pStyle w:val="FootnoteText"/>
        <w:jc w:val="both"/>
        <w:rPr>
          <w:b/>
          <w:bCs/>
        </w:rPr>
      </w:pPr>
      <w:r>
        <w:rPr>
          <w:rStyle w:val="FootnoteReference"/>
        </w:rPr>
        <w:footnoteRef/>
      </w:r>
      <w:r>
        <w:t xml:space="preserve"> </w:t>
      </w:r>
      <w:r w:rsidRPr="00EC1F0E">
        <w:t>Công bố kết quả Tổng điều tra dân số 2019. Nguồn: https://baochinhphu.vn/cong-bo-ket-qua-tong-dieu-tra-dan-so-2019-102258564.htm</w:t>
      </w:r>
    </w:p>
  </w:footnote>
  <w:footnote w:id="64">
    <w:p w14:paraId="059ADF38" w14:textId="77777777" w:rsidR="00BD588B" w:rsidRDefault="00BD588B" w:rsidP="00F33B58">
      <w:pPr>
        <w:pStyle w:val="FootnoteText"/>
        <w:jc w:val="both"/>
      </w:pPr>
      <w:r>
        <w:rPr>
          <w:rStyle w:val="FootnoteReference"/>
        </w:rPr>
        <w:footnoteRef/>
      </w:r>
      <w:r>
        <w:t xml:space="preserve"> </w:t>
      </w:r>
      <w:r w:rsidRPr="00EC1F0E">
        <w:t>Bài “Chủ tịch nước Tô Lâm: Các tổ chức tôn giáo luôn đồng lòng vì sự phát triển chung của đất nước” (13/06/2024), Cổng TTĐT Chính phủ.</w:t>
      </w:r>
      <w:r>
        <w:t xml:space="preserve"> Nguồn: </w:t>
      </w:r>
      <w:r w:rsidRPr="00EC1F0E">
        <w:t>https://baochinhphu.vn/chu-tich-nuoc-to-lam-cac-to-chuc-ton-giao-luon-dong-long-vi-su-phat-trien-chung-cua-dat-nuoc-102240613171534065.htm</w:t>
      </w:r>
    </w:p>
  </w:footnote>
  <w:footnote w:id="65">
    <w:p w14:paraId="21720B16" w14:textId="77777777" w:rsidR="00BD588B" w:rsidRDefault="00BD588B" w:rsidP="00F33B58">
      <w:pPr>
        <w:pStyle w:val="FootnoteText"/>
        <w:jc w:val="both"/>
      </w:pPr>
      <w:r>
        <w:rPr>
          <w:rStyle w:val="FootnoteReference"/>
        </w:rPr>
        <w:footnoteRef/>
      </w:r>
      <w:r>
        <w:t xml:space="preserve"> </w:t>
      </w:r>
      <w:r w:rsidRPr="001F5453">
        <w:t>Bộ GD&amp;ĐT thống kê về quy mô người học và cơ sở giáo dục năm học 2024–2025 (dẫn lại trong bài “Toàn cảnh giáo dục Việt Nam năm học 2024–2025”).</w:t>
      </w:r>
      <w:r>
        <w:t xml:space="preserve"> Nguồn: </w:t>
      </w:r>
      <w:r w:rsidRPr="00F456E2">
        <w:t>https://tuoitre.vn/toan-canh-giao-duc-viet-nam-nam-hoc-2024-2025-2024090510153954.htm</w:t>
      </w:r>
      <w:r>
        <w:t>.</w:t>
      </w:r>
    </w:p>
  </w:footnote>
  <w:footnote w:id="66">
    <w:p w14:paraId="2F20171F" w14:textId="77777777" w:rsidR="00BD588B" w:rsidRDefault="00BD588B" w:rsidP="00F33B58">
      <w:pPr>
        <w:pStyle w:val="FootnoteText"/>
        <w:jc w:val="both"/>
      </w:pPr>
      <w:r>
        <w:rPr>
          <w:rStyle w:val="FootnoteReference"/>
        </w:rPr>
        <w:footnoteRef/>
      </w:r>
      <w:r>
        <w:t xml:space="preserve"> </w:t>
      </w:r>
      <w:r w:rsidRPr="00F456E2">
        <w:t>Báo cáo Bộ GD&amp;ĐT về cơ cấu khối ngành đào tạo và quy mô sinh viên theo khối ngành năm học 2024–2025 (VTV.vn tổng hợp).</w:t>
      </w:r>
      <w:r>
        <w:t xml:space="preserve"> Nguồn: </w:t>
      </w:r>
      <w:r w:rsidRPr="00B55940">
        <w:t>https://vtv.vn/nganh-hoc-nao-co-so-luong-sinh-vien-dong-nhat-nam-hoc-2024-2025-100250924110159154.htm</w:t>
      </w:r>
      <w:r>
        <w:t>.</w:t>
      </w:r>
    </w:p>
  </w:footnote>
  <w:footnote w:id="67">
    <w:p w14:paraId="7D23C8B7" w14:textId="77777777" w:rsidR="00BD588B" w:rsidRDefault="00BD588B" w:rsidP="00F33B58">
      <w:pPr>
        <w:pStyle w:val="FootnoteText"/>
      </w:pPr>
      <w:r>
        <w:rPr>
          <w:rStyle w:val="FootnoteReference"/>
        </w:rPr>
        <w:footnoteRef/>
      </w:r>
      <w:r>
        <w:t xml:space="preserve"> </w:t>
      </w:r>
      <w:r w:rsidRPr="00B55940">
        <w:t>Số cơ sở GDNN và quy mô tuyển sinh GDNN hằng năm (Báo Điện tử Chính phủ/Chinhphu.vn, 26/12/2022).</w:t>
      </w:r>
      <w:r>
        <w:t xml:space="preserve"> </w:t>
      </w:r>
    </w:p>
  </w:footnote>
  <w:footnote w:id="68">
    <w:p w14:paraId="60D8071E" w14:textId="77777777" w:rsidR="00BD588B" w:rsidRPr="009A3321" w:rsidRDefault="00BD588B" w:rsidP="00F33B58">
      <w:pPr>
        <w:pStyle w:val="FootnoteText"/>
        <w:jc w:val="both"/>
      </w:pPr>
      <w:r w:rsidRPr="009A3321">
        <w:rPr>
          <w:rStyle w:val="FootnoteReference"/>
        </w:rPr>
        <w:footnoteRef/>
      </w:r>
      <w:r w:rsidRPr="009A3321">
        <w:t xml:space="preserve"> Chỉ tiêu y tế năm 2024: Thông tin tổng kết ngành Y tế năm 2024 trên Cổng thông tin Bộ Y tế. </w:t>
      </w:r>
    </w:p>
  </w:footnote>
  <w:footnote w:id="69">
    <w:p w14:paraId="5A9606CD" w14:textId="77777777" w:rsidR="00BD588B" w:rsidRDefault="00BD588B" w:rsidP="00F33B58">
      <w:pPr>
        <w:pStyle w:val="FootnoteText"/>
        <w:jc w:val="both"/>
      </w:pPr>
      <w:r w:rsidRPr="009A3321">
        <w:rPr>
          <w:rStyle w:val="FootnoteReference"/>
        </w:rPr>
        <w:footnoteRef/>
      </w:r>
      <w:r w:rsidRPr="009A3321">
        <w:t xml:space="preserve"> Tuyến cơ sở: Bảng “Chỉ tiêu mục tiêu” trên trang “Thống kê y tế” của Bộ Y tế (User Yearbook).</w:t>
      </w:r>
    </w:p>
  </w:footnote>
  <w:footnote w:id="70">
    <w:p w14:paraId="488FDECF" w14:textId="77777777" w:rsidR="00BD588B" w:rsidRDefault="00BD588B" w:rsidP="00F33B58">
      <w:pPr>
        <w:pStyle w:val="FootnoteText"/>
        <w:jc w:val="both"/>
      </w:pPr>
      <w:r>
        <w:rPr>
          <w:rStyle w:val="FootnoteReference"/>
        </w:rPr>
        <w:footnoteRef/>
      </w:r>
      <w:r>
        <w:t xml:space="preserve"> </w:t>
      </w:r>
      <w:r w:rsidRPr="009A3321">
        <w:t>Yêu cầu AT sinh học phòng xét nghiệm: Nội dung Nghị định 103/2016/NĐ-CP (trích đăng/biên tập trên Thư viện Pháp luật).</w:t>
      </w:r>
    </w:p>
  </w:footnote>
  <w:footnote w:id="71">
    <w:p w14:paraId="52637A19" w14:textId="77777777" w:rsidR="00BD588B" w:rsidRDefault="00BD588B" w:rsidP="00F33B58">
      <w:pPr>
        <w:pStyle w:val="FootnoteText"/>
        <w:jc w:val="both"/>
      </w:pPr>
      <w:r>
        <w:rPr>
          <w:rStyle w:val="FootnoteReference"/>
        </w:rPr>
        <w:footnoteRef/>
      </w:r>
      <w:r>
        <w:t xml:space="preserve"> </w:t>
      </w:r>
      <w:r w:rsidRPr="000E39D7">
        <w:t>Chất thải rắn sinh hoạt 69,4 nghìn tấn/ngày; năm 2024 thu gom 97,26%, chôn lấp 64%, CTNH xử lý 98,06%; 94,1% KCN có XLNT tập trung; CCN 31,5% và làng nghề 16,6% có hệ thống xử lý đạt yêu cầu: trích phát biểu/Thông tin từ Cục Môi trường tại họp báo (bài tổng hợp).</w:t>
      </w:r>
    </w:p>
  </w:footnote>
  <w:footnote w:id="72">
    <w:p w14:paraId="4D4FF530" w14:textId="77777777" w:rsidR="00BD588B" w:rsidRDefault="00BD588B" w:rsidP="00F33B58">
      <w:pPr>
        <w:pStyle w:val="FootnoteText"/>
        <w:jc w:val="both"/>
      </w:pPr>
      <w:r>
        <w:rPr>
          <w:rStyle w:val="FootnoteReference"/>
        </w:rPr>
        <w:footnoteRef/>
      </w:r>
      <w:r>
        <w:t xml:space="preserve"> </w:t>
      </w:r>
      <w:r w:rsidRPr="000E39D7">
        <w:t>Rác thải nhựa 1,8 triệu tấn/năm; Hà Nội và TP.HCM khoảng 80 tấn/ngày: bài đăng tổng hợp dẫn số liệu từ Bộ Tài nguyên và Môi trường.</w:t>
      </w:r>
    </w:p>
  </w:footnote>
  <w:footnote w:id="73">
    <w:p w14:paraId="0F7DFFB1" w14:textId="77777777" w:rsidR="00BD588B" w:rsidRDefault="00BD588B" w:rsidP="00F33B58">
      <w:pPr>
        <w:pStyle w:val="FootnoteText"/>
        <w:jc w:val="both"/>
      </w:pPr>
      <w:r>
        <w:rPr>
          <w:rStyle w:val="FootnoteReference"/>
        </w:rPr>
        <w:footnoteRef/>
      </w:r>
      <w:r>
        <w:t xml:space="preserve"> </w:t>
      </w:r>
      <w:r w:rsidRPr="000E39D7">
        <w:t>Rác thải điện tử (2022): 516 kt; 5,3 kg/người; thu gom chính thức 0%: Global E-waste Statistics Partnership (ITU &amp; UNITAR).</w:t>
      </w:r>
    </w:p>
  </w:footnote>
  <w:footnote w:id="74">
    <w:p w14:paraId="6FC6E730" w14:textId="77777777" w:rsidR="00BD588B" w:rsidRDefault="00BD588B" w:rsidP="00F33B58">
      <w:pPr>
        <w:pStyle w:val="FootnoteText"/>
        <w:jc w:val="both"/>
      </w:pPr>
      <w:r>
        <w:rPr>
          <w:rStyle w:val="FootnoteReference"/>
        </w:rPr>
        <w:footnoteRef/>
      </w:r>
      <w:r>
        <w:t xml:space="preserve"> </w:t>
      </w:r>
      <w:r w:rsidRPr="000E39D7">
        <w:t>Kim ngạch XNK 2024: TTWTO Center (VCCI) tổng hợp phát biểu Tổng cục Hải quan.</w:t>
      </w:r>
    </w:p>
  </w:footnote>
  <w:footnote w:id="75">
    <w:p w14:paraId="3CA01DFD" w14:textId="77777777" w:rsidR="00BD588B" w:rsidRDefault="00BD588B" w:rsidP="00F33B58">
      <w:pPr>
        <w:pStyle w:val="FootnoteText"/>
        <w:jc w:val="both"/>
      </w:pPr>
      <w:r>
        <w:rPr>
          <w:rStyle w:val="FootnoteReference"/>
        </w:rPr>
        <w:footnoteRef/>
      </w:r>
      <w:r>
        <w:t xml:space="preserve"> </w:t>
      </w:r>
      <w:r w:rsidRPr="000E39D7">
        <w:t>8.318.863 tờ khai (6T/2024): Thời báo Tài chính Việt Nam (dẫn số liệu Tổng cục Hải quan).</w:t>
      </w:r>
    </w:p>
  </w:footnote>
  <w:footnote w:id="76">
    <w:p w14:paraId="65AB4EFF" w14:textId="77777777" w:rsidR="00BD588B" w:rsidRDefault="00BD588B" w:rsidP="00F33B58">
      <w:pPr>
        <w:pStyle w:val="FootnoteText"/>
        <w:jc w:val="both"/>
      </w:pPr>
      <w:r>
        <w:rPr>
          <w:rStyle w:val="FootnoteReference"/>
        </w:rPr>
        <w:footnoteRef/>
      </w:r>
      <w:r>
        <w:t xml:space="preserve"> </w:t>
      </w:r>
      <w:r w:rsidRPr="002579DA">
        <w:t>Kinh tế số 18,3% GDP và TMĐT bán lẻ 25 tỷ USD (năm 2024). Nguồn: https://en.vneconomy.vn/digital-economy-contributed-18-3-to-gdp.htm?utm_source</w:t>
      </w:r>
      <w:r>
        <w:t>.</w:t>
      </w:r>
    </w:p>
  </w:footnote>
  <w:footnote w:id="77">
    <w:p w14:paraId="78026F8A" w14:textId="77777777" w:rsidR="00BD588B" w:rsidRPr="00332A99" w:rsidRDefault="00BD588B" w:rsidP="00F33B58">
      <w:pPr>
        <w:pStyle w:val="FootnoteText"/>
        <w:jc w:val="both"/>
        <w:rPr>
          <w:b/>
          <w:bCs/>
        </w:rPr>
      </w:pPr>
      <w:r>
        <w:rPr>
          <w:rStyle w:val="FootnoteReference"/>
        </w:rPr>
        <w:footnoteRef/>
      </w:r>
      <w:r>
        <w:t xml:space="preserve"> </w:t>
      </w:r>
      <w:r w:rsidRPr="00332A99">
        <w:t>Báo cáo về Chuyển đổi số quốc gia (tháng 6 năm 2024). Nguồn: https://english.mst.gov.vn/report-on-national-digital-transformation-june-2024-19724100315352008.htm?utm_source</w:t>
      </w:r>
    </w:p>
  </w:footnote>
  <w:footnote w:id="78">
    <w:p w14:paraId="107DF859" w14:textId="77777777" w:rsidR="00BD588B" w:rsidRPr="00E3187F" w:rsidRDefault="00BD588B" w:rsidP="00F33B58">
      <w:pPr>
        <w:pStyle w:val="FootnoteText"/>
        <w:jc w:val="both"/>
        <w:rPr>
          <w:spacing w:val="-8"/>
        </w:rPr>
      </w:pPr>
      <w:r>
        <w:rPr>
          <w:rStyle w:val="FootnoteReference"/>
        </w:rPr>
        <w:footnoteRef/>
      </w:r>
      <w:r>
        <w:t xml:space="preserve"> </w:t>
      </w:r>
      <w:r w:rsidRPr="00E3187F">
        <w:rPr>
          <w:spacing w:val="-8"/>
        </w:rPr>
        <w:t>Tình hình kinh tế - xã hội trong quý IV và năm 2024. Nguồn: https://www.nso.gov.vn/en/highlight/2025/02/socio-economic-situation-in-the-fourth-quarter-and-2024/?utm_source</w:t>
      </w:r>
    </w:p>
  </w:footnote>
  <w:footnote w:id="79">
    <w:p w14:paraId="4BAD2182" w14:textId="77777777" w:rsidR="00BD588B" w:rsidRDefault="00BD588B" w:rsidP="00F33B58">
      <w:pPr>
        <w:pStyle w:val="FootnoteText"/>
        <w:jc w:val="both"/>
      </w:pPr>
      <w:r>
        <w:rPr>
          <w:rStyle w:val="FootnoteReference"/>
        </w:rPr>
        <w:footnoteRef/>
      </w:r>
      <w:r>
        <w:t xml:space="preserve"> </w:t>
      </w:r>
      <w:r w:rsidRPr="00E3187F">
        <w:rPr>
          <w:spacing w:val="-10"/>
        </w:rPr>
        <w:t>Tình hình thu hút FDI tại Việt Nam và đầu tư nước ngoài của Việt Nam năm 2024. Nguồn: https://www.mpi.gov.vn/en/Pages/2025-1-14/FDI-attraction-situation-in-Vietnam-and-Vietnam-s-ehsipf.aspx?utm_source</w:t>
      </w:r>
    </w:p>
  </w:footnote>
  <w:footnote w:id="80">
    <w:p w14:paraId="4BEB5463" w14:textId="77777777" w:rsidR="00BD588B" w:rsidRDefault="00BD588B" w:rsidP="00F33B58">
      <w:pPr>
        <w:pStyle w:val="FootnoteText"/>
        <w:jc w:val="both"/>
      </w:pPr>
      <w:r>
        <w:rPr>
          <w:rStyle w:val="FootnoteReference"/>
        </w:rPr>
        <w:footnoteRef/>
      </w:r>
      <w:r>
        <w:t xml:space="preserve"> </w:t>
      </w:r>
      <w:r w:rsidRPr="00E3187F">
        <w:t>https://en.baochinhphu.vn/hcmc-absorbs-over-1034-billion-of-remittances-in-2025-111260123102358585.htm</w:t>
      </w:r>
    </w:p>
  </w:footnote>
  <w:footnote w:id="81">
    <w:p w14:paraId="1E1143D7" w14:textId="77777777" w:rsidR="00BD588B" w:rsidRDefault="00BD588B" w:rsidP="00F33B58">
      <w:pPr>
        <w:pStyle w:val="FootnoteText"/>
        <w:jc w:val="both"/>
      </w:pPr>
      <w:r>
        <w:rPr>
          <w:rStyle w:val="FootnoteReference"/>
        </w:rPr>
        <w:footnoteRef/>
      </w:r>
      <w:r>
        <w:t xml:space="preserve"> </w:t>
      </w:r>
      <w:r w:rsidRPr="00D415FC">
        <w:t>https://genderdata.worldbank.org/en/economies/vietnam?utm_source</w:t>
      </w:r>
    </w:p>
  </w:footnote>
  <w:footnote w:id="82">
    <w:p w14:paraId="17645BD6" w14:textId="77777777" w:rsidR="00BD588B" w:rsidRDefault="00BD588B" w:rsidP="00F33B58">
      <w:pPr>
        <w:pStyle w:val="FootnoteText"/>
        <w:jc w:val="both"/>
      </w:pPr>
      <w:r>
        <w:rPr>
          <w:rStyle w:val="FootnoteReference"/>
        </w:rPr>
        <w:footnoteRef/>
      </w:r>
      <w:r>
        <w:t xml:space="preserve"> </w:t>
      </w:r>
      <w:hyperlink r:id="rId6" w:history="1">
        <w:r w:rsidRPr="00D415FC">
          <w:rPr>
            <w:rStyle w:val="Hyperlink"/>
            <w:spacing w:val="-8"/>
            <w:u w:val="none"/>
          </w:rPr>
          <w:t>https://www.ilo.org/sites/default/files/2025</w:t>
        </w:r>
      </w:hyperlink>
      <w:r w:rsidRPr="00D415FC">
        <w:rPr>
          <w:spacing w:val="-8"/>
        </w:rPr>
        <w:t xml:space="preserve"> 03/VN%20Gender%20Equality%202025%20En_v1.0.pdf?utm_source</w:t>
      </w:r>
    </w:p>
  </w:footnote>
  <w:footnote w:id="83">
    <w:p w14:paraId="0023D439" w14:textId="77777777" w:rsidR="00BD588B" w:rsidRDefault="00BD588B" w:rsidP="00F33B58">
      <w:pPr>
        <w:pStyle w:val="FootnoteText"/>
      </w:pPr>
      <w:r>
        <w:rPr>
          <w:rStyle w:val="FootnoteReference"/>
        </w:rPr>
        <w:footnoteRef/>
      </w:r>
      <w:r>
        <w:t xml:space="preserve"> </w:t>
      </w:r>
      <w:r w:rsidRPr="002F6E1C">
        <w:t>https://thoibaotaichinhvietnam.vn/infographics-nganh-hai-quan-da-phan-luong-thong-suot-hon-83-trieu-to-khai-hai-quan-155791.html?utm_source</w:t>
      </w:r>
    </w:p>
  </w:footnote>
  <w:footnote w:id="84">
    <w:p w14:paraId="79913A03" w14:textId="77777777" w:rsidR="00BD588B" w:rsidRDefault="00BD588B" w:rsidP="00F33B58">
      <w:pPr>
        <w:pStyle w:val="FootnoteText"/>
      </w:pPr>
      <w:r>
        <w:rPr>
          <w:rStyle w:val="FootnoteReference"/>
        </w:rPr>
        <w:footnoteRef/>
      </w:r>
      <w:r>
        <w:t xml:space="preserve"> </w:t>
      </w:r>
      <w:r w:rsidRPr="002F6E1C">
        <w:t>https://congthuong.vn/hon-139-trieu-ho-so-truc-tuyen-thuc-hien-tu-cong-dich-vu-cong-quoc-gia-336036.html</w:t>
      </w:r>
    </w:p>
  </w:footnote>
  <w:footnote w:id="85">
    <w:p w14:paraId="536B84D8" w14:textId="77777777" w:rsidR="00BD588B" w:rsidRDefault="00BD588B" w:rsidP="00F33B58">
      <w:pPr>
        <w:pStyle w:val="FootnoteText"/>
      </w:pPr>
      <w:r>
        <w:rPr>
          <w:rStyle w:val="FootnoteReference"/>
        </w:rPr>
        <w:footnoteRef/>
      </w:r>
      <w:r>
        <w:t xml:space="preserve"> </w:t>
      </w:r>
      <w:r w:rsidRPr="002F6E1C">
        <w:t>https://en.vneconomy.vn/all-administrative-procedures-to-be-processed-online-by-the-end-of-2025.htm</w:t>
      </w:r>
    </w:p>
  </w:footnote>
  <w:footnote w:id="86">
    <w:p w14:paraId="48F85D36" w14:textId="77777777" w:rsidR="00BD588B" w:rsidRPr="00A93A09" w:rsidRDefault="00BD588B" w:rsidP="00CC5077">
      <w:pPr>
        <w:jc w:val="both"/>
        <w:rPr>
          <w:bCs/>
          <w:iCs/>
          <w:sz w:val="20"/>
          <w:szCs w:val="20"/>
        </w:rPr>
      </w:pPr>
      <w:r w:rsidRPr="00A93A09">
        <w:rPr>
          <w:rStyle w:val="FootnoteReference"/>
        </w:rPr>
        <w:footnoteRef/>
      </w:r>
      <w:hyperlink r:id="rId7" w:history="1">
        <w:r w:rsidRPr="00A93A09">
          <w:rPr>
            <w:rStyle w:val="Hyperlink"/>
            <w:bCs/>
            <w:iCs/>
            <w:spacing w:val="-16"/>
            <w:sz w:val="20"/>
            <w:szCs w:val="20"/>
            <w:u w:val="none"/>
          </w:rPr>
          <w:t>https://mst.gov.vn/nam-2023-nguoi-dan-viet-nam-bi-lua-dao-truc-tuyen-khoang-8000-10000-ty-dong-197240627151433701.htm</w:t>
        </w:r>
      </w:hyperlink>
    </w:p>
  </w:footnote>
  <w:footnote w:id="87">
    <w:p w14:paraId="7B1CB090" w14:textId="77777777" w:rsidR="00BD588B" w:rsidRPr="007D68C4" w:rsidRDefault="00BD588B" w:rsidP="00CC5077">
      <w:pPr>
        <w:jc w:val="both"/>
        <w:rPr>
          <w:bCs/>
          <w:iCs/>
        </w:rPr>
      </w:pPr>
      <w:r w:rsidRPr="00A93A09">
        <w:rPr>
          <w:rStyle w:val="FootnoteReference"/>
        </w:rPr>
        <w:footnoteRef/>
      </w:r>
      <w:r w:rsidRPr="00A93A09">
        <w:t xml:space="preserve"> </w:t>
      </w:r>
      <w:hyperlink r:id="rId8" w:history="1">
        <w:r w:rsidRPr="00A93A09">
          <w:rPr>
            <w:rStyle w:val="Hyperlink"/>
            <w:bCs/>
            <w:iCs/>
            <w:color w:val="auto"/>
            <w:sz w:val="20"/>
            <w:szCs w:val="20"/>
            <w:u w:val="none"/>
          </w:rPr>
          <w:t>https://vneconomy.vn/bon-bo-nganh-ban-cach-dua-viet-nam-ra-khoi-danh-sach-xam-cua-fatf.htm</w:t>
        </w:r>
      </w:hyperlink>
    </w:p>
  </w:footnote>
  <w:footnote w:id="88">
    <w:p w14:paraId="7D963690" w14:textId="77777777" w:rsidR="00BD588B" w:rsidRPr="00F9636C" w:rsidRDefault="00BD588B" w:rsidP="00542000">
      <w:pPr>
        <w:jc w:val="both"/>
        <w:rPr>
          <w:bCs/>
          <w:iCs/>
          <w:sz w:val="20"/>
          <w:szCs w:val="20"/>
        </w:rPr>
      </w:pPr>
      <w:r w:rsidRPr="00F9636C">
        <w:rPr>
          <w:rStyle w:val="FootnoteReference"/>
        </w:rPr>
        <w:footnoteRef/>
      </w:r>
      <w:r w:rsidRPr="00F9636C">
        <w:t xml:space="preserve"> </w:t>
      </w:r>
      <w:hyperlink r:id="rId9" w:history="1">
        <w:r w:rsidRPr="00F9636C">
          <w:rPr>
            <w:rStyle w:val="Hyperlink"/>
            <w:bCs/>
            <w:iCs/>
            <w:color w:val="auto"/>
            <w:sz w:val="20"/>
            <w:szCs w:val="20"/>
            <w:u w:val="none"/>
          </w:rPr>
          <w:t>https://eves.com.vn/media/qybdw5cp/828-qcompressed.pdf</w:t>
        </w:r>
      </w:hyperlink>
    </w:p>
    <w:p w14:paraId="06B83CEF" w14:textId="77777777" w:rsidR="00BD588B" w:rsidRPr="0030127A" w:rsidRDefault="00BD588B" w:rsidP="00542000">
      <w:pPr>
        <w:jc w:val="both"/>
        <w:rPr>
          <w:bCs/>
          <w:iCs/>
          <w:sz w:val="20"/>
          <w:szCs w:val="20"/>
        </w:rPr>
      </w:pPr>
      <w:r w:rsidRPr="00F9636C">
        <w:rPr>
          <w:bCs/>
          <w:iCs/>
          <w:sz w:val="20"/>
          <w:szCs w:val="20"/>
        </w:rPr>
        <w:t xml:space="preserve"> </w:t>
      </w:r>
      <w:hyperlink r:id="rId10" w:history="1">
        <w:r w:rsidRPr="00F9636C">
          <w:rPr>
            <w:rStyle w:val="Hyperlink"/>
            <w:bCs/>
            <w:iCs/>
            <w:color w:val="auto"/>
            <w:sz w:val="20"/>
            <w:szCs w:val="20"/>
            <w:u w:val="none"/>
          </w:rPr>
          <w:t>https://trungtamwto.vn/thi-truong-duc/22719-viet-nam-xep-thu-3-trong-top-tham-hut-thuong-mai-cua-my</w:t>
        </w:r>
      </w:hyperlink>
    </w:p>
  </w:footnote>
  <w:footnote w:id="89">
    <w:p w14:paraId="26D0AA97" w14:textId="77777777" w:rsidR="00BD588B" w:rsidRDefault="00BD588B" w:rsidP="00F33B58">
      <w:pPr>
        <w:pStyle w:val="FootnoteText"/>
        <w:jc w:val="both"/>
      </w:pPr>
      <w:r>
        <w:rPr>
          <w:rStyle w:val="FootnoteReference"/>
        </w:rPr>
        <w:footnoteRef/>
      </w:r>
      <w:r>
        <w:t xml:space="preserve"> </w:t>
      </w:r>
      <w:r w:rsidRPr="00EF2A23">
        <w:t>Giải mã ngành xuất nhập khẩu tại Việt Nam dành cho nhà đầu tư nước ngoài. Nguồn: https://vietnam.incorp.asia/import-and-export-industry-vietnam/?utm_source</w:t>
      </w:r>
    </w:p>
  </w:footnote>
  <w:footnote w:id="90">
    <w:p w14:paraId="2E2D2FA9" w14:textId="77777777" w:rsidR="00BD588B" w:rsidRPr="00F9636C" w:rsidRDefault="00BD588B" w:rsidP="00F33B58">
      <w:pPr>
        <w:pStyle w:val="FootnoteText"/>
        <w:jc w:val="both"/>
      </w:pPr>
      <w:r w:rsidRPr="00F9636C">
        <w:rPr>
          <w:rStyle w:val="FootnoteReference"/>
        </w:rPr>
        <w:footnoteRef/>
      </w:r>
      <w:r w:rsidRPr="00F9636C">
        <w:t xml:space="preserve"> </w:t>
      </w:r>
      <w:r w:rsidRPr="00F9636C">
        <w:rPr>
          <w:bCs/>
        </w:rPr>
        <w:t xml:space="preserve">Báo cáo Logistics Việt Nam 2024. Nguồn: </w:t>
      </w:r>
      <w:r w:rsidRPr="00F9636C">
        <w:t>https://ratracosolutions.com/wp-content/uploads/2024/12/BAO-CAO-LOGISTIC-VIET-NAM-2024.pdf?utm_source</w:t>
      </w:r>
    </w:p>
  </w:footnote>
  <w:footnote w:id="91">
    <w:p w14:paraId="168A20D7" w14:textId="77777777" w:rsidR="00BD588B" w:rsidRPr="00F9636C" w:rsidRDefault="00BD588B" w:rsidP="00F33B58">
      <w:pPr>
        <w:pStyle w:val="FootnoteText"/>
        <w:jc w:val="both"/>
        <w:rPr>
          <w:b/>
          <w:bCs/>
        </w:rPr>
      </w:pPr>
      <w:r w:rsidRPr="00F9636C">
        <w:rPr>
          <w:rStyle w:val="FootnoteReference"/>
        </w:rPr>
        <w:footnoteRef/>
      </w:r>
      <w:r w:rsidRPr="00F9636C">
        <w:t xml:space="preserve"> Một số nét chính thị trường lao động quý I năm 2025. Nguồn: https://www.nso.gov.vn/bai-top/2025/04/mot-so-net-chinh-thi-truong-lao-dong-quy-i-nam-2025/?utm_source</w:t>
      </w:r>
    </w:p>
  </w:footnote>
  <w:footnote w:id="92">
    <w:p w14:paraId="4C1AA5A8" w14:textId="77777777" w:rsidR="00BD588B" w:rsidRPr="00F9636C" w:rsidRDefault="00BD588B" w:rsidP="00F33B58">
      <w:pPr>
        <w:pStyle w:val="FootnoteText"/>
        <w:rPr>
          <w:b/>
          <w:bCs/>
        </w:rPr>
      </w:pPr>
      <w:r w:rsidRPr="00F9636C">
        <w:rPr>
          <w:rStyle w:val="FootnoteReference"/>
        </w:rPr>
        <w:footnoteRef/>
      </w:r>
      <w:r w:rsidRPr="00F9636C">
        <w:t xml:space="preserve"> Cục Thống kê - Bộ Tài chính - Thông cáo báo chí về tình hình lao động, việc làm quý IV và năm 2024. </w:t>
      </w:r>
    </w:p>
  </w:footnote>
  <w:footnote w:id="93">
    <w:p w14:paraId="3551F7CC" w14:textId="77777777" w:rsidR="00BD588B" w:rsidRDefault="00BD588B" w:rsidP="00F33B58">
      <w:pPr>
        <w:pStyle w:val="FootnoteText"/>
        <w:jc w:val="both"/>
      </w:pPr>
      <w:r w:rsidRPr="00F9636C">
        <w:rPr>
          <w:rStyle w:val="FootnoteReference"/>
        </w:rPr>
        <w:footnoteRef/>
      </w:r>
      <w:r w:rsidRPr="00F9636C">
        <w:t xml:space="preserve"> Công tác tôn giáo ở Việt Nam. Nguồn: </w:t>
      </w:r>
      <w:hyperlink r:id="rId11" w:history="1">
        <w:r w:rsidRPr="00F9636C">
          <w:rPr>
            <w:rStyle w:val="Hyperlink"/>
            <w:color w:val="auto"/>
            <w:u w:val="none"/>
          </w:rPr>
          <w:t>https://btgcp.gov.vn/pages/detail/9845/Cong-tac-ton-giao-o-Viet-Nam---Tham-luan-cua-Pho-Truong-ban-BTGCP-Tran-Thi-Minh-Nga-tai-Hoi-nghi-Thuong-dinh-Phat-giao-Viet</w:t>
        </w:r>
      </w:hyperlink>
      <w:r w:rsidRPr="00F9636C">
        <w:t xml:space="preserve"> Nam---Lao---Campuchia-lan-.html?utm_source</w:t>
      </w:r>
    </w:p>
  </w:footnote>
  <w:footnote w:id="94">
    <w:p w14:paraId="249C17D1" w14:textId="77777777" w:rsidR="00BD588B" w:rsidRPr="00E76EA7" w:rsidRDefault="00BD588B" w:rsidP="00F33B58">
      <w:pPr>
        <w:pStyle w:val="FootnoteText"/>
        <w:jc w:val="both"/>
      </w:pPr>
      <w:r>
        <w:rPr>
          <w:rStyle w:val="FootnoteReference"/>
        </w:rPr>
        <w:footnoteRef/>
      </w:r>
      <w:r>
        <w:t xml:space="preserve"> Ban Tôn giáo Chính phủ </w:t>
      </w:r>
      <w:r w:rsidRPr="00E76EA7">
        <w:t>- Chính thức triển khai thử nghiệm Hệ thống thông tin Cơ sở dữ liệu tôn giáo</w:t>
      </w:r>
      <w:r>
        <w:t xml:space="preserve"> (</w:t>
      </w:r>
      <w:r w:rsidRPr="00E76EA7">
        <w:t>Ngày đăng</w:t>
      </w:r>
      <w:r>
        <w:t xml:space="preserve"> </w:t>
      </w:r>
      <w:r w:rsidRPr="00E76EA7">
        <w:t>31/12/2025</w:t>
      </w:r>
      <w:r>
        <w:t>)</w:t>
      </w:r>
    </w:p>
    <w:p w14:paraId="134A6413" w14:textId="77777777" w:rsidR="00BD588B" w:rsidRDefault="00BD588B" w:rsidP="00F33B58">
      <w:pPr>
        <w:pStyle w:val="FootnoteText"/>
      </w:pPr>
    </w:p>
  </w:footnote>
  <w:footnote w:id="95">
    <w:p w14:paraId="27EDFAC1" w14:textId="77777777" w:rsidR="00BD588B" w:rsidRPr="008869FA" w:rsidRDefault="00BD588B" w:rsidP="00F33B58">
      <w:pPr>
        <w:pStyle w:val="FootnoteText"/>
        <w:jc w:val="both"/>
      </w:pPr>
      <w:r>
        <w:rPr>
          <w:rStyle w:val="FootnoteReference"/>
        </w:rPr>
        <w:footnoteRef/>
      </w:r>
      <w:r>
        <w:t xml:space="preserve"> Bộ Công thương </w:t>
      </w:r>
      <w:r w:rsidRPr="008869FA">
        <w:t xml:space="preserve">- Nâng cao công tác an toàn hóa chất </w:t>
      </w:r>
      <w:r>
        <w:t>-</w:t>
      </w:r>
      <w:r w:rsidRPr="008869FA">
        <w:t xml:space="preserve"> Nền tảng cho sự phát triển bền vững ngành công nghiệp hiện đại</w:t>
      </w:r>
      <w:r>
        <w:t xml:space="preserve">, đăng ngày </w:t>
      </w:r>
      <w:r w:rsidRPr="008869FA">
        <w:t>18/11/2024 </w:t>
      </w:r>
      <w:r>
        <w:t>.</w:t>
      </w:r>
    </w:p>
    <w:p w14:paraId="6FB98D63" w14:textId="77777777" w:rsidR="00BD588B" w:rsidRDefault="00BD588B" w:rsidP="00F33B58">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096578"/>
      <w:docPartObj>
        <w:docPartGallery w:val="Page Numbers (Top of Page)"/>
        <w:docPartUnique/>
      </w:docPartObj>
    </w:sdtPr>
    <w:sdtEndPr>
      <w:rPr>
        <w:noProof/>
      </w:rPr>
    </w:sdtEndPr>
    <w:sdtContent>
      <w:p w14:paraId="574041E8" w14:textId="30D454BE" w:rsidR="00BD588B" w:rsidRDefault="00BD588B">
        <w:pPr>
          <w:pStyle w:val="Header"/>
          <w:jc w:val="center"/>
        </w:pPr>
        <w:r>
          <w:fldChar w:fldCharType="begin"/>
        </w:r>
        <w:r>
          <w:instrText xml:space="preserve"> PAGE   \* MERGEFORMAT </w:instrText>
        </w:r>
        <w:r>
          <w:fldChar w:fldCharType="separate"/>
        </w:r>
        <w:r w:rsidR="000369E7">
          <w:rPr>
            <w:noProof/>
          </w:rPr>
          <w:t>90</w:t>
        </w:r>
        <w:r>
          <w:rPr>
            <w:noProof/>
          </w:rPr>
          <w:fldChar w:fldCharType="end"/>
        </w:r>
      </w:p>
    </w:sdtContent>
  </w:sdt>
  <w:p w14:paraId="572D502D" w14:textId="77777777" w:rsidR="00BD588B" w:rsidRDefault="00BD588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9167D" w14:textId="77777777" w:rsidR="00BD588B" w:rsidRPr="00E504ED" w:rsidRDefault="00BD588B" w:rsidP="006E5C83">
    <w:pPr>
      <w:spacing w:before="40" w:line="269" w:lineRule="auto"/>
      <w:ind w:firstLine="720"/>
      <w:jc w:val="both"/>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5E4A"/>
    <w:multiLevelType w:val="multilevel"/>
    <w:tmpl w:val="265C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91C2A"/>
    <w:multiLevelType w:val="multilevel"/>
    <w:tmpl w:val="5992CC48"/>
    <w:lvl w:ilvl="0">
      <w:start w:val="1"/>
      <w:numFmt w:val="bullet"/>
      <w:lvlText w:val=""/>
      <w:lvlJc w:val="left"/>
      <w:pPr>
        <w:tabs>
          <w:tab w:val="num" w:pos="9433"/>
        </w:tabs>
        <w:ind w:left="9433" w:hanging="360"/>
      </w:pPr>
      <w:rPr>
        <w:rFonts w:ascii="Symbol" w:hAnsi="Symbol" w:hint="default"/>
        <w:sz w:val="20"/>
      </w:rPr>
    </w:lvl>
    <w:lvl w:ilvl="1" w:tentative="1">
      <w:start w:val="1"/>
      <w:numFmt w:val="bullet"/>
      <w:lvlText w:val="o"/>
      <w:lvlJc w:val="left"/>
      <w:pPr>
        <w:tabs>
          <w:tab w:val="num" w:pos="10153"/>
        </w:tabs>
        <w:ind w:left="10153" w:hanging="360"/>
      </w:pPr>
      <w:rPr>
        <w:rFonts w:ascii="Courier New" w:hAnsi="Courier New" w:hint="default"/>
        <w:sz w:val="20"/>
      </w:rPr>
    </w:lvl>
    <w:lvl w:ilvl="2" w:tentative="1">
      <w:start w:val="1"/>
      <w:numFmt w:val="bullet"/>
      <w:lvlText w:val=""/>
      <w:lvlJc w:val="left"/>
      <w:pPr>
        <w:tabs>
          <w:tab w:val="num" w:pos="10873"/>
        </w:tabs>
        <w:ind w:left="10873" w:hanging="360"/>
      </w:pPr>
      <w:rPr>
        <w:rFonts w:ascii="Wingdings" w:hAnsi="Wingdings" w:hint="default"/>
        <w:sz w:val="20"/>
      </w:rPr>
    </w:lvl>
    <w:lvl w:ilvl="3" w:tentative="1">
      <w:start w:val="1"/>
      <w:numFmt w:val="bullet"/>
      <w:lvlText w:val=""/>
      <w:lvlJc w:val="left"/>
      <w:pPr>
        <w:tabs>
          <w:tab w:val="num" w:pos="11593"/>
        </w:tabs>
        <w:ind w:left="11593" w:hanging="360"/>
      </w:pPr>
      <w:rPr>
        <w:rFonts w:ascii="Wingdings" w:hAnsi="Wingdings" w:hint="default"/>
        <w:sz w:val="20"/>
      </w:rPr>
    </w:lvl>
    <w:lvl w:ilvl="4" w:tentative="1">
      <w:start w:val="1"/>
      <w:numFmt w:val="bullet"/>
      <w:lvlText w:val=""/>
      <w:lvlJc w:val="left"/>
      <w:pPr>
        <w:tabs>
          <w:tab w:val="num" w:pos="12313"/>
        </w:tabs>
        <w:ind w:left="12313" w:hanging="360"/>
      </w:pPr>
      <w:rPr>
        <w:rFonts w:ascii="Wingdings" w:hAnsi="Wingdings" w:hint="default"/>
        <w:sz w:val="20"/>
      </w:rPr>
    </w:lvl>
    <w:lvl w:ilvl="5" w:tentative="1">
      <w:start w:val="1"/>
      <w:numFmt w:val="bullet"/>
      <w:lvlText w:val=""/>
      <w:lvlJc w:val="left"/>
      <w:pPr>
        <w:tabs>
          <w:tab w:val="num" w:pos="13033"/>
        </w:tabs>
        <w:ind w:left="13033" w:hanging="360"/>
      </w:pPr>
      <w:rPr>
        <w:rFonts w:ascii="Wingdings" w:hAnsi="Wingdings" w:hint="default"/>
        <w:sz w:val="20"/>
      </w:rPr>
    </w:lvl>
    <w:lvl w:ilvl="6" w:tentative="1">
      <w:start w:val="1"/>
      <w:numFmt w:val="bullet"/>
      <w:lvlText w:val=""/>
      <w:lvlJc w:val="left"/>
      <w:pPr>
        <w:tabs>
          <w:tab w:val="num" w:pos="13753"/>
        </w:tabs>
        <w:ind w:left="13753" w:hanging="360"/>
      </w:pPr>
      <w:rPr>
        <w:rFonts w:ascii="Wingdings" w:hAnsi="Wingdings" w:hint="default"/>
        <w:sz w:val="20"/>
      </w:rPr>
    </w:lvl>
    <w:lvl w:ilvl="7" w:tentative="1">
      <w:start w:val="1"/>
      <w:numFmt w:val="bullet"/>
      <w:lvlText w:val=""/>
      <w:lvlJc w:val="left"/>
      <w:pPr>
        <w:tabs>
          <w:tab w:val="num" w:pos="14473"/>
        </w:tabs>
        <w:ind w:left="14473" w:hanging="360"/>
      </w:pPr>
      <w:rPr>
        <w:rFonts w:ascii="Wingdings" w:hAnsi="Wingdings" w:hint="default"/>
        <w:sz w:val="20"/>
      </w:rPr>
    </w:lvl>
    <w:lvl w:ilvl="8" w:tentative="1">
      <w:start w:val="1"/>
      <w:numFmt w:val="bullet"/>
      <w:lvlText w:val=""/>
      <w:lvlJc w:val="left"/>
      <w:pPr>
        <w:tabs>
          <w:tab w:val="num" w:pos="15193"/>
        </w:tabs>
        <w:ind w:left="15193" w:hanging="360"/>
      </w:pPr>
      <w:rPr>
        <w:rFonts w:ascii="Wingdings" w:hAnsi="Wingdings" w:hint="default"/>
        <w:sz w:val="20"/>
      </w:rPr>
    </w:lvl>
  </w:abstractNum>
  <w:abstractNum w:abstractNumId="2" w15:restartNumberingAfterBreak="0">
    <w:nsid w:val="02F10408"/>
    <w:multiLevelType w:val="multilevel"/>
    <w:tmpl w:val="AEC0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122DF"/>
    <w:multiLevelType w:val="multilevel"/>
    <w:tmpl w:val="14BCE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0C7979"/>
    <w:multiLevelType w:val="hybridMultilevel"/>
    <w:tmpl w:val="629ED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3685F"/>
    <w:multiLevelType w:val="multilevel"/>
    <w:tmpl w:val="8D02F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C086B"/>
    <w:multiLevelType w:val="multilevel"/>
    <w:tmpl w:val="3A9CF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F4C1C"/>
    <w:multiLevelType w:val="multilevel"/>
    <w:tmpl w:val="1FA66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5D3724"/>
    <w:multiLevelType w:val="multilevel"/>
    <w:tmpl w:val="1E6C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995AC1"/>
    <w:multiLevelType w:val="multilevel"/>
    <w:tmpl w:val="B70AA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F860D6"/>
    <w:multiLevelType w:val="hybridMultilevel"/>
    <w:tmpl w:val="87BEFEC6"/>
    <w:lvl w:ilvl="0" w:tplc="85F0D964">
      <w:start w:val="1"/>
      <w:numFmt w:val="lowerRoman"/>
      <w:suff w:val="space"/>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9282CFC"/>
    <w:multiLevelType w:val="hybridMultilevel"/>
    <w:tmpl w:val="1DA46070"/>
    <w:lvl w:ilvl="0" w:tplc="04090017">
      <w:start w:val="1"/>
      <w:numFmt w:val="lowerLetter"/>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2" w15:restartNumberingAfterBreak="0">
    <w:nsid w:val="29A26129"/>
    <w:multiLevelType w:val="multilevel"/>
    <w:tmpl w:val="47FE5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AF0513"/>
    <w:multiLevelType w:val="multilevel"/>
    <w:tmpl w:val="96EC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750793"/>
    <w:multiLevelType w:val="hybridMultilevel"/>
    <w:tmpl w:val="FB743998"/>
    <w:lvl w:ilvl="0" w:tplc="BF6413A4">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674CAD"/>
    <w:multiLevelType w:val="multilevel"/>
    <w:tmpl w:val="BF4C6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752536"/>
    <w:multiLevelType w:val="hybridMultilevel"/>
    <w:tmpl w:val="81AE7C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D648C1"/>
    <w:multiLevelType w:val="hybridMultilevel"/>
    <w:tmpl w:val="1E90EB46"/>
    <w:lvl w:ilvl="0" w:tplc="01488A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77E70"/>
    <w:multiLevelType w:val="multilevel"/>
    <w:tmpl w:val="AC9A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196857"/>
    <w:multiLevelType w:val="multilevel"/>
    <w:tmpl w:val="3522C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4A24CB"/>
    <w:multiLevelType w:val="multilevel"/>
    <w:tmpl w:val="6E66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4554A9"/>
    <w:multiLevelType w:val="hybridMultilevel"/>
    <w:tmpl w:val="47305B3C"/>
    <w:lvl w:ilvl="0" w:tplc="DFE886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072FE0"/>
    <w:multiLevelType w:val="hybridMultilevel"/>
    <w:tmpl w:val="DB025634"/>
    <w:lvl w:ilvl="0" w:tplc="8DD8362E">
      <w:start w:val="6"/>
      <w:numFmt w:val="bullet"/>
      <w:suff w:val="space"/>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E293D92"/>
    <w:multiLevelType w:val="multilevel"/>
    <w:tmpl w:val="A43E5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357C29"/>
    <w:multiLevelType w:val="hybridMultilevel"/>
    <w:tmpl w:val="39DE447A"/>
    <w:lvl w:ilvl="0" w:tplc="757232C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B80717"/>
    <w:multiLevelType w:val="multilevel"/>
    <w:tmpl w:val="45E4D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8E45E7"/>
    <w:multiLevelType w:val="multilevel"/>
    <w:tmpl w:val="CACA5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F40FB4"/>
    <w:multiLevelType w:val="hybridMultilevel"/>
    <w:tmpl w:val="CF98ADD8"/>
    <w:lvl w:ilvl="0" w:tplc="52DAF3AE">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A928B2"/>
    <w:multiLevelType w:val="multilevel"/>
    <w:tmpl w:val="C46E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1705F7"/>
    <w:multiLevelType w:val="hybridMultilevel"/>
    <w:tmpl w:val="B4943064"/>
    <w:lvl w:ilvl="0" w:tplc="528C52F0">
      <w:start w:val="2"/>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80F4F6C"/>
    <w:multiLevelType w:val="hybridMultilevel"/>
    <w:tmpl w:val="CB8C4300"/>
    <w:lvl w:ilvl="0" w:tplc="B7802592">
      <w:start w:val="6"/>
      <w:numFmt w:val="bullet"/>
      <w:suff w:val="space"/>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6B1D7FB3"/>
    <w:multiLevelType w:val="multilevel"/>
    <w:tmpl w:val="77DA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477A08"/>
    <w:multiLevelType w:val="multilevel"/>
    <w:tmpl w:val="AA063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533192"/>
    <w:multiLevelType w:val="multilevel"/>
    <w:tmpl w:val="ED487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DC1DD9"/>
    <w:multiLevelType w:val="multilevel"/>
    <w:tmpl w:val="6E4E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0E59FA"/>
    <w:multiLevelType w:val="hybridMultilevel"/>
    <w:tmpl w:val="5A447BD0"/>
    <w:lvl w:ilvl="0" w:tplc="FCF85F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E334C1"/>
    <w:multiLevelType w:val="multilevel"/>
    <w:tmpl w:val="100C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731F7A"/>
    <w:multiLevelType w:val="hybridMultilevel"/>
    <w:tmpl w:val="61A69C98"/>
    <w:lvl w:ilvl="0" w:tplc="F6C6A5BC">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96CBE"/>
    <w:multiLevelType w:val="multilevel"/>
    <w:tmpl w:val="00A87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DA7526"/>
    <w:multiLevelType w:val="multilevel"/>
    <w:tmpl w:val="F99E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303AB5"/>
    <w:multiLevelType w:val="multilevel"/>
    <w:tmpl w:val="5290D46E"/>
    <w:lvl w:ilvl="0">
      <w:start w:val="1"/>
      <w:numFmt w:val="decimal"/>
      <w:suff w:val="space"/>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CE656DF"/>
    <w:multiLevelType w:val="multilevel"/>
    <w:tmpl w:val="01A45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4"/>
  </w:num>
  <w:num w:numId="3">
    <w:abstractNumId w:val="11"/>
  </w:num>
  <w:num w:numId="4">
    <w:abstractNumId w:val="16"/>
  </w:num>
  <w:num w:numId="5">
    <w:abstractNumId w:val="21"/>
  </w:num>
  <w:num w:numId="6">
    <w:abstractNumId w:val="35"/>
  </w:num>
  <w:num w:numId="7">
    <w:abstractNumId w:val="17"/>
  </w:num>
  <w:num w:numId="8">
    <w:abstractNumId w:val="27"/>
  </w:num>
  <w:num w:numId="9">
    <w:abstractNumId w:val="10"/>
  </w:num>
  <w:num w:numId="10">
    <w:abstractNumId w:val="30"/>
  </w:num>
  <w:num w:numId="11">
    <w:abstractNumId w:val="22"/>
  </w:num>
  <w:num w:numId="12">
    <w:abstractNumId w:val="18"/>
  </w:num>
  <w:num w:numId="13">
    <w:abstractNumId w:val="7"/>
  </w:num>
  <w:num w:numId="14">
    <w:abstractNumId w:val="1"/>
  </w:num>
  <w:num w:numId="15">
    <w:abstractNumId w:val="24"/>
  </w:num>
  <w:num w:numId="16">
    <w:abstractNumId w:val="31"/>
  </w:num>
  <w:num w:numId="17">
    <w:abstractNumId w:val="32"/>
  </w:num>
  <w:num w:numId="18">
    <w:abstractNumId w:val="13"/>
  </w:num>
  <w:num w:numId="19">
    <w:abstractNumId w:val="26"/>
  </w:num>
  <w:num w:numId="20">
    <w:abstractNumId w:val="19"/>
  </w:num>
  <w:num w:numId="21">
    <w:abstractNumId w:val="36"/>
  </w:num>
  <w:num w:numId="22">
    <w:abstractNumId w:val="15"/>
  </w:num>
  <w:num w:numId="23">
    <w:abstractNumId w:val="8"/>
  </w:num>
  <w:num w:numId="24">
    <w:abstractNumId w:val="6"/>
  </w:num>
  <w:num w:numId="25">
    <w:abstractNumId w:val="9"/>
  </w:num>
  <w:num w:numId="26">
    <w:abstractNumId w:val="2"/>
  </w:num>
  <w:num w:numId="27">
    <w:abstractNumId w:val="28"/>
  </w:num>
  <w:num w:numId="28">
    <w:abstractNumId w:val="23"/>
  </w:num>
  <w:num w:numId="29">
    <w:abstractNumId w:val="33"/>
  </w:num>
  <w:num w:numId="30">
    <w:abstractNumId w:val="20"/>
  </w:num>
  <w:num w:numId="31">
    <w:abstractNumId w:val="3"/>
  </w:num>
  <w:num w:numId="32">
    <w:abstractNumId w:val="38"/>
  </w:num>
  <w:num w:numId="33">
    <w:abstractNumId w:val="39"/>
  </w:num>
  <w:num w:numId="34">
    <w:abstractNumId w:val="5"/>
  </w:num>
  <w:num w:numId="35">
    <w:abstractNumId w:val="12"/>
  </w:num>
  <w:num w:numId="36">
    <w:abstractNumId w:val="37"/>
  </w:num>
  <w:num w:numId="37">
    <w:abstractNumId w:val="14"/>
  </w:num>
  <w:num w:numId="38">
    <w:abstractNumId w:val="29"/>
  </w:num>
  <w:num w:numId="39">
    <w:abstractNumId w:val="41"/>
  </w:num>
  <w:num w:numId="40">
    <w:abstractNumId w:val="25"/>
  </w:num>
  <w:num w:numId="41">
    <w:abstractNumId w:val="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93EED"/>
    <w:rsid w:val="000004C9"/>
    <w:rsid w:val="00000BC3"/>
    <w:rsid w:val="00001A8F"/>
    <w:rsid w:val="00001F81"/>
    <w:rsid w:val="00002E12"/>
    <w:rsid w:val="00003169"/>
    <w:rsid w:val="00003F33"/>
    <w:rsid w:val="0000415C"/>
    <w:rsid w:val="00004FA8"/>
    <w:rsid w:val="00005BD2"/>
    <w:rsid w:val="00007147"/>
    <w:rsid w:val="000077A0"/>
    <w:rsid w:val="000077F1"/>
    <w:rsid w:val="00007A31"/>
    <w:rsid w:val="00010089"/>
    <w:rsid w:val="00010588"/>
    <w:rsid w:val="000109F8"/>
    <w:rsid w:val="0001156A"/>
    <w:rsid w:val="00012197"/>
    <w:rsid w:val="000127DB"/>
    <w:rsid w:val="00014C51"/>
    <w:rsid w:val="00014F34"/>
    <w:rsid w:val="000163FD"/>
    <w:rsid w:val="0001715E"/>
    <w:rsid w:val="00021B98"/>
    <w:rsid w:val="000241EB"/>
    <w:rsid w:val="00031FFC"/>
    <w:rsid w:val="00032986"/>
    <w:rsid w:val="00032D62"/>
    <w:rsid w:val="000330EE"/>
    <w:rsid w:val="0003387D"/>
    <w:rsid w:val="000369E7"/>
    <w:rsid w:val="00037A67"/>
    <w:rsid w:val="00040F95"/>
    <w:rsid w:val="00041435"/>
    <w:rsid w:val="0004252E"/>
    <w:rsid w:val="000475CD"/>
    <w:rsid w:val="00050A44"/>
    <w:rsid w:val="00051D17"/>
    <w:rsid w:val="00051FF0"/>
    <w:rsid w:val="00056AF1"/>
    <w:rsid w:val="000578E1"/>
    <w:rsid w:val="00060802"/>
    <w:rsid w:val="00060A93"/>
    <w:rsid w:val="00061950"/>
    <w:rsid w:val="00062EDA"/>
    <w:rsid w:val="000639B6"/>
    <w:rsid w:val="0006619B"/>
    <w:rsid w:val="00067DD1"/>
    <w:rsid w:val="000721B1"/>
    <w:rsid w:val="00072200"/>
    <w:rsid w:val="00075F25"/>
    <w:rsid w:val="0007747F"/>
    <w:rsid w:val="000777EA"/>
    <w:rsid w:val="000842A8"/>
    <w:rsid w:val="000849C9"/>
    <w:rsid w:val="00086837"/>
    <w:rsid w:val="000872CA"/>
    <w:rsid w:val="000874A6"/>
    <w:rsid w:val="000875DC"/>
    <w:rsid w:val="0008794B"/>
    <w:rsid w:val="00087A5C"/>
    <w:rsid w:val="00090A74"/>
    <w:rsid w:val="00090B52"/>
    <w:rsid w:val="00090BC2"/>
    <w:rsid w:val="00091149"/>
    <w:rsid w:val="000914BB"/>
    <w:rsid w:val="00093B81"/>
    <w:rsid w:val="00096175"/>
    <w:rsid w:val="000972E6"/>
    <w:rsid w:val="000A13F4"/>
    <w:rsid w:val="000A26E5"/>
    <w:rsid w:val="000A53FE"/>
    <w:rsid w:val="000A5E5B"/>
    <w:rsid w:val="000A6333"/>
    <w:rsid w:val="000A6CFE"/>
    <w:rsid w:val="000A7E90"/>
    <w:rsid w:val="000B0E25"/>
    <w:rsid w:val="000B2F10"/>
    <w:rsid w:val="000B3B9E"/>
    <w:rsid w:val="000B40C0"/>
    <w:rsid w:val="000B4C21"/>
    <w:rsid w:val="000B4DD5"/>
    <w:rsid w:val="000B5884"/>
    <w:rsid w:val="000B7F5E"/>
    <w:rsid w:val="000C3AB9"/>
    <w:rsid w:val="000C54D8"/>
    <w:rsid w:val="000C7C98"/>
    <w:rsid w:val="000D1F0F"/>
    <w:rsid w:val="000D24CE"/>
    <w:rsid w:val="000D38FA"/>
    <w:rsid w:val="000D4BF8"/>
    <w:rsid w:val="000D54C1"/>
    <w:rsid w:val="000D5BDF"/>
    <w:rsid w:val="000D6B6A"/>
    <w:rsid w:val="000D6F0C"/>
    <w:rsid w:val="000E39D7"/>
    <w:rsid w:val="000E3F22"/>
    <w:rsid w:val="000E64EF"/>
    <w:rsid w:val="000F627F"/>
    <w:rsid w:val="000F6B5F"/>
    <w:rsid w:val="00100405"/>
    <w:rsid w:val="001021E6"/>
    <w:rsid w:val="001036B7"/>
    <w:rsid w:val="00105547"/>
    <w:rsid w:val="001055C2"/>
    <w:rsid w:val="00106BB5"/>
    <w:rsid w:val="00107634"/>
    <w:rsid w:val="001100A4"/>
    <w:rsid w:val="001103E0"/>
    <w:rsid w:val="00110A29"/>
    <w:rsid w:val="00110F44"/>
    <w:rsid w:val="00111029"/>
    <w:rsid w:val="00111C95"/>
    <w:rsid w:val="00112686"/>
    <w:rsid w:val="001136EC"/>
    <w:rsid w:val="001144F6"/>
    <w:rsid w:val="00115456"/>
    <w:rsid w:val="001173ED"/>
    <w:rsid w:val="00117C93"/>
    <w:rsid w:val="00117CF2"/>
    <w:rsid w:val="00126975"/>
    <w:rsid w:val="0012767A"/>
    <w:rsid w:val="00131A4D"/>
    <w:rsid w:val="001339BF"/>
    <w:rsid w:val="00134C0E"/>
    <w:rsid w:val="00135425"/>
    <w:rsid w:val="001358C8"/>
    <w:rsid w:val="00135B65"/>
    <w:rsid w:val="001418A8"/>
    <w:rsid w:val="001422EA"/>
    <w:rsid w:val="00142EB5"/>
    <w:rsid w:val="001437CE"/>
    <w:rsid w:val="0014454C"/>
    <w:rsid w:val="00146467"/>
    <w:rsid w:val="00147163"/>
    <w:rsid w:val="001510D6"/>
    <w:rsid w:val="00155A13"/>
    <w:rsid w:val="00156154"/>
    <w:rsid w:val="0015664B"/>
    <w:rsid w:val="00161C3E"/>
    <w:rsid w:val="00162039"/>
    <w:rsid w:val="00162E09"/>
    <w:rsid w:val="00163598"/>
    <w:rsid w:val="00163F44"/>
    <w:rsid w:val="001642F4"/>
    <w:rsid w:val="00165662"/>
    <w:rsid w:val="00166984"/>
    <w:rsid w:val="00170B83"/>
    <w:rsid w:val="001719E2"/>
    <w:rsid w:val="00172A85"/>
    <w:rsid w:val="00172AA1"/>
    <w:rsid w:val="00173631"/>
    <w:rsid w:val="0017426B"/>
    <w:rsid w:val="0017529C"/>
    <w:rsid w:val="00175357"/>
    <w:rsid w:val="00180330"/>
    <w:rsid w:val="00182699"/>
    <w:rsid w:val="00183480"/>
    <w:rsid w:val="0018441B"/>
    <w:rsid w:val="00186C99"/>
    <w:rsid w:val="00191173"/>
    <w:rsid w:val="00191692"/>
    <w:rsid w:val="00191FA2"/>
    <w:rsid w:val="00192779"/>
    <w:rsid w:val="001945D9"/>
    <w:rsid w:val="00196BDD"/>
    <w:rsid w:val="00196E11"/>
    <w:rsid w:val="001A1CC9"/>
    <w:rsid w:val="001A36C5"/>
    <w:rsid w:val="001A3982"/>
    <w:rsid w:val="001A409E"/>
    <w:rsid w:val="001A437F"/>
    <w:rsid w:val="001A466B"/>
    <w:rsid w:val="001A4D37"/>
    <w:rsid w:val="001A6DE3"/>
    <w:rsid w:val="001A6F33"/>
    <w:rsid w:val="001A7DFF"/>
    <w:rsid w:val="001B026A"/>
    <w:rsid w:val="001B1983"/>
    <w:rsid w:val="001B3718"/>
    <w:rsid w:val="001B44C2"/>
    <w:rsid w:val="001C0E1A"/>
    <w:rsid w:val="001C1BB2"/>
    <w:rsid w:val="001C6993"/>
    <w:rsid w:val="001C7AB9"/>
    <w:rsid w:val="001D4FE1"/>
    <w:rsid w:val="001D5916"/>
    <w:rsid w:val="001D5B15"/>
    <w:rsid w:val="001D7EBE"/>
    <w:rsid w:val="001E0DC0"/>
    <w:rsid w:val="001E1169"/>
    <w:rsid w:val="001E2CD4"/>
    <w:rsid w:val="001E2DD2"/>
    <w:rsid w:val="001E4EDD"/>
    <w:rsid w:val="001E67B4"/>
    <w:rsid w:val="001E6D5D"/>
    <w:rsid w:val="001E728E"/>
    <w:rsid w:val="001F1A8E"/>
    <w:rsid w:val="001F329C"/>
    <w:rsid w:val="001F5453"/>
    <w:rsid w:val="001F6F4C"/>
    <w:rsid w:val="00200BB3"/>
    <w:rsid w:val="002025CD"/>
    <w:rsid w:val="002028C0"/>
    <w:rsid w:val="00202FB3"/>
    <w:rsid w:val="00206B08"/>
    <w:rsid w:val="00211A49"/>
    <w:rsid w:val="00211F3E"/>
    <w:rsid w:val="00212B31"/>
    <w:rsid w:val="00213AAD"/>
    <w:rsid w:val="00215E94"/>
    <w:rsid w:val="00220524"/>
    <w:rsid w:val="00220742"/>
    <w:rsid w:val="00221AB1"/>
    <w:rsid w:val="00221B78"/>
    <w:rsid w:val="00222052"/>
    <w:rsid w:val="0022276B"/>
    <w:rsid w:val="00224620"/>
    <w:rsid w:val="002247CC"/>
    <w:rsid w:val="00224E4A"/>
    <w:rsid w:val="00225293"/>
    <w:rsid w:val="00225E68"/>
    <w:rsid w:val="0022603B"/>
    <w:rsid w:val="00226C07"/>
    <w:rsid w:val="002302C2"/>
    <w:rsid w:val="00231128"/>
    <w:rsid w:val="00234456"/>
    <w:rsid w:val="002346FB"/>
    <w:rsid w:val="00235636"/>
    <w:rsid w:val="00236235"/>
    <w:rsid w:val="002367F0"/>
    <w:rsid w:val="002407BB"/>
    <w:rsid w:val="00241A91"/>
    <w:rsid w:val="00242CA3"/>
    <w:rsid w:val="002437AD"/>
    <w:rsid w:val="00243B97"/>
    <w:rsid w:val="00247123"/>
    <w:rsid w:val="00247744"/>
    <w:rsid w:val="0024794F"/>
    <w:rsid w:val="0025011D"/>
    <w:rsid w:val="00251019"/>
    <w:rsid w:val="002521AB"/>
    <w:rsid w:val="002562E6"/>
    <w:rsid w:val="002579DA"/>
    <w:rsid w:val="00260442"/>
    <w:rsid w:val="002618DE"/>
    <w:rsid w:val="00264AC8"/>
    <w:rsid w:val="00264DF0"/>
    <w:rsid w:val="002666A7"/>
    <w:rsid w:val="002670FD"/>
    <w:rsid w:val="002701B2"/>
    <w:rsid w:val="00270631"/>
    <w:rsid w:val="00270788"/>
    <w:rsid w:val="00270D7C"/>
    <w:rsid w:val="00271447"/>
    <w:rsid w:val="00272E5B"/>
    <w:rsid w:val="0027366E"/>
    <w:rsid w:val="0027727E"/>
    <w:rsid w:val="00277D8D"/>
    <w:rsid w:val="0028110B"/>
    <w:rsid w:val="00281AF1"/>
    <w:rsid w:val="00281BB2"/>
    <w:rsid w:val="00282D7E"/>
    <w:rsid w:val="0028404A"/>
    <w:rsid w:val="00284399"/>
    <w:rsid w:val="00284513"/>
    <w:rsid w:val="002847C1"/>
    <w:rsid w:val="0028489A"/>
    <w:rsid w:val="002856F4"/>
    <w:rsid w:val="00286994"/>
    <w:rsid w:val="00287599"/>
    <w:rsid w:val="00291339"/>
    <w:rsid w:val="0029288F"/>
    <w:rsid w:val="00293014"/>
    <w:rsid w:val="00295901"/>
    <w:rsid w:val="00297B73"/>
    <w:rsid w:val="002A0DB9"/>
    <w:rsid w:val="002A1B58"/>
    <w:rsid w:val="002A1BCA"/>
    <w:rsid w:val="002A2193"/>
    <w:rsid w:val="002A2915"/>
    <w:rsid w:val="002A3A49"/>
    <w:rsid w:val="002A479B"/>
    <w:rsid w:val="002A4C62"/>
    <w:rsid w:val="002A5296"/>
    <w:rsid w:val="002A55CD"/>
    <w:rsid w:val="002A6EF0"/>
    <w:rsid w:val="002A712A"/>
    <w:rsid w:val="002A74F2"/>
    <w:rsid w:val="002B0037"/>
    <w:rsid w:val="002B18EB"/>
    <w:rsid w:val="002B3025"/>
    <w:rsid w:val="002B6C7B"/>
    <w:rsid w:val="002C16AA"/>
    <w:rsid w:val="002C30E5"/>
    <w:rsid w:val="002C344E"/>
    <w:rsid w:val="002C4C45"/>
    <w:rsid w:val="002C54FC"/>
    <w:rsid w:val="002D3125"/>
    <w:rsid w:val="002D625F"/>
    <w:rsid w:val="002D7756"/>
    <w:rsid w:val="002E052F"/>
    <w:rsid w:val="002E0583"/>
    <w:rsid w:val="002E0810"/>
    <w:rsid w:val="002E2154"/>
    <w:rsid w:val="002E246C"/>
    <w:rsid w:val="002E3A8C"/>
    <w:rsid w:val="002E4385"/>
    <w:rsid w:val="002E4436"/>
    <w:rsid w:val="002E4DD8"/>
    <w:rsid w:val="002E59C7"/>
    <w:rsid w:val="002E638F"/>
    <w:rsid w:val="002E6A4D"/>
    <w:rsid w:val="002E6BA5"/>
    <w:rsid w:val="002E70C1"/>
    <w:rsid w:val="002F3749"/>
    <w:rsid w:val="002F4B93"/>
    <w:rsid w:val="002F4DC9"/>
    <w:rsid w:val="002F6E1C"/>
    <w:rsid w:val="002F6E1F"/>
    <w:rsid w:val="00300279"/>
    <w:rsid w:val="0030127A"/>
    <w:rsid w:val="003012CE"/>
    <w:rsid w:val="003017E8"/>
    <w:rsid w:val="00304E80"/>
    <w:rsid w:val="0031052D"/>
    <w:rsid w:val="00310A1E"/>
    <w:rsid w:val="00312BB0"/>
    <w:rsid w:val="00313346"/>
    <w:rsid w:val="00313EB5"/>
    <w:rsid w:val="003141D5"/>
    <w:rsid w:val="0031578E"/>
    <w:rsid w:val="00316F8B"/>
    <w:rsid w:val="00322364"/>
    <w:rsid w:val="003245F3"/>
    <w:rsid w:val="00324839"/>
    <w:rsid w:val="00325866"/>
    <w:rsid w:val="00327039"/>
    <w:rsid w:val="00327862"/>
    <w:rsid w:val="00331344"/>
    <w:rsid w:val="00331752"/>
    <w:rsid w:val="00332167"/>
    <w:rsid w:val="00332A99"/>
    <w:rsid w:val="00333181"/>
    <w:rsid w:val="00333221"/>
    <w:rsid w:val="0033617A"/>
    <w:rsid w:val="00336A72"/>
    <w:rsid w:val="003375EB"/>
    <w:rsid w:val="003402EE"/>
    <w:rsid w:val="00341C56"/>
    <w:rsid w:val="0034229D"/>
    <w:rsid w:val="00342434"/>
    <w:rsid w:val="003425BA"/>
    <w:rsid w:val="00343B1A"/>
    <w:rsid w:val="003456B8"/>
    <w:rsid w:val="00346038"/>
    <w:rsid w:val="00346280"/>
    <w:rsid w:val="00347E09"/>
    <w:rsid w:val="00353220"/>
    <w:rsid w:val="003539E9"/>
    <w:rsid w:val="00355DEA"/>
    <w:rsid w:val="00356E4C"/>
    <w:rsid w:val="0035751A"/>
    <w:rsid w:val="00360AC5"/>
    <w:rsid w:val="00361E1C"/>
    <w:rsid w:val="00364573"/>
    <w:rsid w:val="00365D93"/>
    <w:rsid w:val="00367F82"/>
    <w:rsid w:val="00370A91"/>
    <w:rsid w:val="003713FC"/>
    <w:rsid w:val="00371490"/>
    <w:rsid w:val="003721EA"/>
    <w:rsid w:val="00373C87"/>
    <w:rsid w:val="0037542E"/>
    <w:rsid w:val="00375E74"/>
    <w:rsid w:val="00376F32"/>
    <w:rsid w:val="0037715D"/>
    <w:rsid w:val="00377BF0"/>
    <w:rsid w:val="00380054"/>
    <w:rsid w:val="00380EA9"/>
    <w:rsid w:val="003829A3"/>
    <w:rsid w:val="00383AD7"/>
    <w:rsid w:val="00383D72"/>
    <w:rsid w:val="00384DCE"/>
    <w:rsid w:val="0038708D"/>
    <w:rsid w:val="00387353"/>
    <w:rsid w:val="00387937"/>
    <w:rsid w:val="0039151F"/>
    <w:rsid w:val="003938EA"/>
    <w:rsid w:val="00393EED"/>
    <w:rsid w:val="003959AA"/>
    <w:rsid w:val="003961BF"/>
    <w:rsid w:val="00396FEB"/>
    <w:rsid w:val="00397165"/>
    <w:rsid w:val="003A1288"/>
    <w:rsid w:val="003A64E8"/>
    <w:rsid w:val="003A6900"/>
    <w:rsid w:val="003A713C"/>
    <w:rsid w:val="003B1A65"/>
    <w:rsid w:val="003B405F"/>
    <w:rsid w:val="003B63A7"/>
    <w:rsid w:val="003B757A"/>
    <w:rsid w:val="003C1428"/>
    <w:rsid w:val="003C2983"/>
    <w:rsid w:val="003C33BC"/>
    <w:rsid w:val="003C4FEE"/>
    <w:rsid w:val="003C61A3"/>
    <w:rsid w:val="003C6643"/>
    <w:rsid w:val="003D0EDF"/>
    <w:rsid w:val="003D194C"/>
    <w:rsid w:val="003D26DE"/>
    <w:rsid w:val="003D3A97"/>
    <w:rsid w:val="003D4B07"/>
    <w:rsid w:val="003D4C44"/>
    <w:rsid w:val="003D4D11"/>
    <w:rsid w:val="003D6E39"/>
    <w:rsid w:val="003D7144"/>
    <w:rsid w:val="003D79E4"/>
    <w:rsid w:val="003E01AD"/>
    <w:rsid w:val="003E0840"/>
    <w:rsid w:val="003E0ABE"/>
    <w:rsid w:val="003E12FE"/>
    <w:rsid w:val="003E1BD3"/>
    <w:rsid w:val="003E34A2"/>
    <w:rsid w:val="003E3E4B"/>
    <w:rsid w:val="003E3F75"/>
    <w:rsid w:val="003F02EE"/>
    <w:rsid w:val="003F1FEA"/>
    <w:rsid w:val="003F21F1"/>
    <w:rsid w:val="003F2433"/>
    <w:rsid w:val="003F59FA"/>
    <w:rsid w:val="003F5B0C"/>
    <w:rsid w:val="00400CCE"/>
    <w:rsid w:val="004035E0"/>
    <w:rsid w:val="00403B0B"/>
    <w:rsid w:val="00404074"/>
    <w:rsid w:val="0040590D"/>
    <w:rsid w:val="00406324"/>
    <w:rsid w:val="0040652C"/>
    <w:rsid w:val="00406F71"/>
    <w:rsid w:val="004112D3"/>
    <w:rsid w:val="0041172F"/>
    <w:rsid w:val="004129CF"/>
    <w:rsid w:val="00416AD6"/>
    <w:rsid w:val="00417388"/>
    <w:rsid w:val="00417435"/>
    <w:rsid w:val="00421B68"/>
    <w:rsid w:val="00423036"/>
    <w:rsid w:val="0042747D"/>
    <w:rsid w:val="00430025"/>
    <w:rsid w:val="00436FBB"/>
    <w:rsid w:val="00437E43"/>
    <w:rsid w:val="00442003"/>
    <w:rsid w:val="0044280E"/>
    <w:rsid w:val="00443C02"/>
    <w:rsid w:val="00443D1F"/>
    <w:rsid w:val="00444B71"/>
    <w:rsid w:val="004473A4"/>
    <w:rsid w:val="00450B7B"/>
    <w:rsid w:val="00451FA1"/>
    <w:rsid w:val="004521E8"/>
    <w:rsid w:val="00453C8B"/>
    <w:rsid w:val="00456281"/>
    <w:rsid w:val="00457DB5"/>
    <w:rsid w:val="00460F35"/>
    <w:rsid w:val="004610B1"/>
    <w:rsid w:val="00461BC6"/>
    <w:rsid w:val="004625EF"/>
    <w:rsid w:val="00463AB5"/>
    <w:rsid w:val="00463F64"/>
    <w:rsid w:val="00463FCC"/>
    <w:rsid w:val="0046574D"/>
    <w:rsid w:val="004677C7"/>
    <w:rsid w:val="004708CF"/>
    <w:rsid w:val="004709C3"/>
    <w:rsid w:val="0047131E"/>
    <w:rsid w:val="00471981"/>
    <w:rsid w:val="00472305"/>
    <w:rsid w:val="0047377F"/>
    <w:rsid w:val="004739EE"/>
    <w:rsid w:val="0047411C"/>
    <w:rsid w:val="00474632"/>
    <w:rsid w:val="00475676"/>
    <w:rsid w:val="004759B4"/>
    <w:rsid w:val="00475FD1"/>
    <w:rsid w:val="00477E8E"/>
    <w:rsid w:val="004810E5"/>
    <w:rsid w:val="004827BC"/>
    <w:rsid w:val="00483C68"/>
    <w:rsid w:val="00485971"/>
    <w:rsid w:val="00486C87"/>
    <w:rsid w:val="0048765A"/>
    <w:rsid w:val="0049060A"/>
    <w:rsid w:val="0049111C"/>
    <w:rsid w:val="00496693"/>
    <w:rsid w:val="004A0878"/>
    <w:rsid w:val="004A3C32"/>
    <w:rsid w:val="004A3CC8"/>
    <w:rsid w:val="004A4686"/>
    <w:rsid w:val="004A5054"/>
    <w:rsid w:val="004A5A00"/>
    <w:rsid w:val="004A6031"/>
    <w:rsid w:val="004A6944"/>
    <w:rsid w:val="004B228F"/>
    <w:rsid w:val="004B5700"/>
    <w:rsid w:val="004C3BEA"/>
    <w:rsid w:val="004C4039"/>
    <w:rsid w:val="004C48C8"/>
    <w:rsid w:val="004C5B0C"/>
    <w:rsid w:val="004C6072"/>
    <w:rsid w:val="004C68C8"/>
    <w:rsid w:val="004C6FA8"/>
    <w:rsid w:val="004D05C4"/>
    <w:rsid w:val="004D10CB"/>
    <w:rsid w:val="004D284D"/>
    <w:rsid w:val="004D48BF"/>
    <w:rsid w:val="004D5EDA"/>
    <w:rsid w:val="004D7501"/>
    <w:rsid w:val="004E102C"/>
    <w:rsid w:val="004E176F"/>
    <w:rsid w:val="004E383A"/>
    <w:rsid w:val="004E487D"/>
    <w:rsid w:val="004E50B6"/>
    <w:rsid w:val="004E538B"/>
    <w:rsid w:val="004E5BE9"/>
    <w:rsid w:val="004E7BBC"/>
    <w:rsid w:val="004F011A"/>
    <w:rsid w:val="004F03B5"/>
    <w:rsid w:val="004F052E"/>
    <w:rsid w:val="004F2A5E"/>
    <w:rsid w:val="004F3A38"/>
    <w:rsid w:val="004F43E3"/>
    <w:rsid w:val="004F5A3A"/>
    <w:rsid w:val="004F6726"/>
    <w:rsid w:val="004F797C"/>
    <w:rsid w:val="004F7D94"/>
    <w:rsid w:val="0050011B"/>
    <w:rsid w:val="00502302"/>
    <w:rsid w:val="005030F3"/>
    <w:rsid w:val="0050459F"/>
    <w:rsid w:val="005074C0"/>
    <w:rsid w:val="00510EF7"/>
    <w:rsid w:val="00511422"/>
    <w:rsid w:val="00513309"/>
    <w:rsid w:val="00513AD3"/>
    <w:rsid w:val="00514CA9"/>
    <w:rsid w:val="00515516"/>
    <w:rsid w:val="00517007"/>
    <w:rsid w:val="00517552"/>
    <w:rsid w:val="005201AD"/>
    <w:rsid w:val="00521428"/>
    <w:rsid w:val="00521EB5"/>
    <w:rsid w:val="005222AC"/>
    <w:rsid w:val="00522982"/>
    <w:rsid w:val="00522F60"/>
    <w:rsid w:val="00526163"/>
    <w:rsid w:val="005268BA"/>
    <w:rsid w:val="0053112A"/>
    <w:rsid w:val="00531790"/>
    <w:rsid w:val="00531A5A"/>
    <w:rsid w:val="00531B8C"/>
    <w:rsid w:val="005322CD"/>
    <w:rsid w:val="00533194"/>
    <w:rsid w:val="00533346"/>
    <w:rsid w:val="00534303"/>
    <w:rsid w:val="00535682"/>
    <w:rsid w:val="00535720"/>
    <w:rsid w:val="0053585F"/>
    <w:rsid w:val="00535B31"/>
    <w:rsid w:val="00536772"/>
    <w:rsid w:val="00537047"/>
    <w:rsid w:val="0053796E"/>
    <w:rsid w:val="005402A2"/>
    <w:rsid w:val="00542000"/>
    <w:rsid w:val="00543407"/>
    <w:rsid w:val="00543792"/>
    <w:rsid w:val="0054584E"/>
    <w:rsid w:val="00550751"/>
    <w:rsid w:val="00553528"/>
    <w:rsid w:val="005537F1"/>
    <w:rsid w:val="0055513D"/>
    <w:rsid w:val="00556047"/>
    <w:rsid w:val="0055725D"/>
    <w:rsid w:val="00560A07"/>
    <w:rsid w:val="0056126C"/>
    <w:rsid w:val="005625FC"/>
    <w:rsid w:val="0056297C"/>
    <w:rsid w:val="00563595"/>
    <w:rsid w:val="0056366E"/>
    <w:rsid w:val="0056446D"/>
    <w:rsid w:val="00570FAF"/>
    <w:rsid w:val="00572709"/>
    <w:rsid w:val="00573102"/>
    <w:rsid w:val="00573BFB"/>
    <w:rsid w:val="0057533A"/>
    <w:rsid w:val="00577045"/>
    <w:rsid w:val="00580121"/>
    <w:rsid w:val="00581C86"/>
    <w:rsid w:val="00581E3E"/>
    <w:rsid w:val="00586FA3"/>
    <w:rsid w:val="00587881"/>
    <w:rsid w:val="00590419"/>
    <w:rsid w:val="005960C4"/>
    <w:rsid w:val="005971C5"/>
    <w:rsid w:val="005A0D03"/>
    <w:rsid w:val="005A185C"/>
    <w:rsid w:val="005A220D"/>
    <w:rsid w:val="005A2D24"/>
    <w:rsid w:val="005A3115"/>
    <w:rsid w:val="005A5602"/>
    <w:rsid w:val="005A5799"/>
    <w:rsid w:val="005A75B0"/>
    <w:rsid w:val="005B0513"/>
    <w:rsid w:val="005B0D3F"/>
    <w:rsid w:val="005B234A"/>
    <w:rsid w:val="005B2766"/>
    <w:rsid w:val="005B2C77"/>
    <w:rsid w:val="005B3C54"/>
    <w:rsid w:val="005B3F09"/>
    <w:rsid w:val="005B3FA3"/>
    <w:rsid w:val="005B51C8"/>
    <w:rsid w:val="005B52FA"/>
    <w:rsid w:val="005B5C57"/>
    <w:rsid w:val="005B688F"/>
    <w:rsid w:val="005B7ABA"/>
    <w:rsid w:val="005C2679"/>
    <w:rsid w:val="005C434B"/>
    <w:rsid w:val="005C4604"/>
    <w:rsid w:val="005C6ADD"/>
    <w:rsid w:val="005C77CD"/>
    <w:rsid w:val="005D0BA1"/>
    <w:rsid w:val="005D21B0"/>
    <w:rsid w:val="005D32AA"/>
    <w:rsid w:val="005D61DB"/>
    <w:rsid w:val="005D7783"/>
    <w:rsid w:val="005E2B1A"/>
    <w:rsid w:val="005E34C1"/>
    <w:rsid w:val="005E46C3"/>
    <w:rsid w:val="005E50C4"/>
    <w:rsid w:val="005E6ABF"/>
    <w:rsid w:val="005F0F57"/>
    <w:rsid w:val="005F25D9"/>
    <w:rsid w:val="005F445D"/>
    <w:rsid w:val="005F66D2"/>
    <w:rsid w:val="005F6ACD"/>
    <w:rsid w:val="005F74F7"/>
    <w:rsid w:val="005F7E6B"/>
    <w:rsid w:val="00600462"/>
    <w:rsid w:val="00601964"/>
    <w:rsid w:val="006043D2"/>
    <w:rsid w:val="00605BE2"/>
    <w:rsid w:val="00606899"/>
    <w:rsid w:val="00610112"/>
    <w:rsid w:val="00610289"/>
    <w:rsid w:val="006111F3"/>
    <w:rsid w:val="0061419D"/>
    <w:rsid w:val="00614281"/>
    <w:rsid w:val="0061512A"/>
    <w:rsid w:val="00615DCD"/>
    <w:rsid w:val="00616124"/>
    <w:rsid w:val="0061653D"/>
    <w:rsid w:val="006206EF"/>
    <w:rsid w:val="00621A93"/>
    <w:rsid w:val="00621DBB"/>
    <w:rsid w:val="00621FA4"/>
    <w:rsid w:val="006225BD"/>
    <w:rsid w:val="00623840"/>
    <w:rsid w:val="00624D70"/>
    <w:rsid w:val="0062570C"/>
    <w:rsid w:val="00625785"/>
    <w:rsid w:val="0062629D"/>
    <w:rsid w:val="0062643A"/>
    <w:rsid w:val="006266D8"/>
    <w:rsid w:val="0063048B"/>
    <w:rsid w:val="006310BE"/>
    <w:rsid w:val="00631216"/>
    <w:rsid w:val="00632493"/>
    <w:rsid w:val="00633068"/>
    <w:rsid w:val="006347F0"/>
    <w:rsid w:val="00634BEA"/>
    <w:rsid w:val="006362B9"/>
    <w:rsid w:val="00640E64"/>
    <w:rsid w:val="00644D79"/>
    <w:rsid w:val="00644EA8"/>
    <w:rsid w:val="00646E45"/>
    <w:rsid w:val="00650DBD"/>
    <w:rsid w:val="0065415A"/>
    <w:rsid w:val="006544E9"/>
    <w:rsid w:val="00656D5B"/>
    <w:rsid w:val="00660CEF"/>
    <w:rsid w:val="00661140"/>
    <w:rsid w:val="006616BE"/>
    <w:rsid w:val="00661E11"/>
    <w:rsid w:val="0066369E"/>
    <w:rsid w:val="006637B5"/>
    <w:rsid w:val="0066421D"/>
    <w:rsid w:val="006642F2"/>
    <w:rsid w:val="00667479"/>
    <w:rsid w:val="00670399"/>
    <w:rsid w:val="00673844"/>
    <w:rsid w:val="00674115"/>
    <w:rsid w:val="00674A1B"/>
    <w:rsid w:val="006752DC"/>
    <w:rsid w:val="006755CD"/>
    <w:rsid w:val="00675635"/>
    <w:rsid w:val="00676B0D"/>
    <w:rsid w:val="006778AB"/>
    <w:rsid w:val="00680FBD"/>
    <w:rsid w:val="00681D26"/>
    <w:rsid w:val="0068273D"/>
    <w:rsid w:val="006831D2"/>
    <w:rsid w:val="0068455B"/>
    <w:rsid w:val="00684844"/>
    <w:rsid w:val="00685A8D"/>
    <w:rsid w:val="00685E9E"/>
    <w:rsid w:val="0068670F"/>
    <w:rsid w:val="00691028"/>
    <w:rsid w:val="00691040"/>
    <w:rsid w:val="00692411"/>
    <w:rsid w:val="00692F03"/>
    <w:rsid w:val="00694300"/>
    <w:rsid w:val="00696ACE"/>
    <w:rsid w:val="006A0106"/>
    <w:rsid w:val="006A285A"/>
    <w:rsid w:val="006A2925"/>
    <w:rsid w:val="006A38DB"/>
    <w:rsid w:val="006A4131"/>
    <w:rsid w:val="006A485C"/>
    <w:rsid w:val="006A53B4"/>
    <w:rsid w:val="006A5F07"/>
    <w:rsid w:val="006A66AF"/>
    <w:rsid w:val="006A7BCB"/>
    <w:rsid w:val="006B1B4A"/>
    <w:rsid w:val="006B2427"/>
    <w:rsid w:val="006B55A3"/>
    <w:rsid w:val="006B5C26"/>
    <w:rsid w:val="006B6237"/>
    <w:rsid w:val="006C00D2"/>
    <w:rsid w:val="006C0791"/>
    <w:rsid w:val="006C1E61"/>
    <w:rsid w:val="006C2E44"/>
    <w:rsid w:val="006C5211"/>
    <w:rsid w:val="006C5C2E"/>
    <w:rsid w:val="006C5C60"/>
    <w:rsid w:val="006C7952"/>
    <w:rsid w:val="006C7BFC"/>
    <w:rsid w:val="006D095B"/>
    <w:rsid w:val="006D0DE5"/>
    <w:rsid w:val="006D1134"/>
    <w:rsid w:val="006D12F9"/>
    <w:rsid w:val="006D2CF0"/>
    <w:rsid w:val="006D3D2C"/>
    <w:rsid w:val="006D4A9A"/>
    <w:rsid w:val="006D4DE9"/>
    <w:rsid w:val="006D7F26"/>
    <w:rsid w:val="006E0C4A"/>
    <w:rsid w:val="006E1839"/>
    <w:rsid w:val="006E3393"/>
    <w:rsid w:val="006E39E6"/>
    <w:rsid w:val="006E51DA"/>
    <w:rsid w:val="006E5A95"/>
    <w:rsid w:val="006E5C83"/>
    <w:rsid w:val="006E6C7A"/>
    <w:rsid w:val="006F3574"/>
    <w:rsid w:val="006F362E"/>
    <w:rsid w:val="006F4532"/>
    <w:rsid w:val="006F49E4"/>
    <w:rsid w:val="006F4A39"/>
    <w:rsid w:val="006F6492"/>
    <w:rsid w:val="006F6EC0"/>
    <w:rsid w:val="006F74C3"/>
    <w:rsid w:val="006F7EDF"/>
    <w:rsid w:val="006F7F0B"/>
    <w:rsid w:val="007000D0"/>
    <w:rsid w:val="00701659"/>
    <w:rsid w:val="00702CDE"/>
    <w:rsid w:val="007049CA"/>
    <w:rsid w:val="00704DD7"/>
    <w:rsid w:val="00706F6E"/>
    <w:rsid w:val="00706FC0"/>
    <w:rsid w:val="00707B57"/>
    <w:rsid w:val="00707BF5"/>
    <w:rsid w:val="007107C8"/>
    <w:rsid w:val="00710999"/>
    <w:rsid w:val="00714459"/>
    <w:rsid w:val="00716CAC"/>
    <w:rsid w:val="0072336A"/>
    <w:rsid w:val="00724702"/>
    <w:rsid w:val="00725DD3"/>
    <w:rsid w:val="0072619C"/>
    <w:rsid w:val="00730190"/>
    <w:rsid w:val="007308BF"/>
    <w:rsid w:val="00732427"/>
    <w:rsid w:val="007331EB"/>
    <w:rsid w:val="00736335"/>
    <w:rsid w:val="00737ACD"/>
    <w:rsid w:val="0074088C"/>
    <w:rsid w:val="00743645"/>
    <w:rsid w:val="0074587F"/>
    <w:rsid w:val="007464F3"/>
    <w:rsid w:val="00751921"/>
    <w:rsid w:val="00752E2A"/>
    <w:rsid w:val="00754F1A"/>
    <w:rsid w:val="00754F44"/>
    <w:rsid w:val="00755277"/>
    <w:rsid w:val="00756B24"/>
    <w:rsid w:val="007570AB"/>
    <w:rsid w:val="00760D35"/>
    <w:rsid w:val="00762714"/>
    <w:rsid w:val="007632B0"/>
    <w:rsid w:val="00765591"/>
    <w:rsid w:val="00765C25"/>
    <w:rsid w:val="00767224"/>
    <w:rsid w:val="00774094"/>
    <w:rsid w:val="00774B2B"/>
    <w:rsid w:val="00775276"/>
    <w:rsid w:val="00775BA0"/>
    <w:rsid w:val="00775EE0"/>
    <w:rsid w:val="00776726"/>
    <w:rsid w:val="00782590"/>
    <w:rsid w:val="00782D7B"/>
    <w:rsid w:val="007831F8"/>
    <w:rsid w:val="00783892"/>
    <w:rsid w:val="00783973"/>
    <w:rsid w:val="0078654B"/>
    <w:rsid w:val="00790781"/>
    <w:rsid w:val="00790F46"/>
    <w:rsid w:val="0079150D"/>
    <w:rsid w:val="007916E5"/>
    <w:rsid w:val="0079175E"/>
    <w:rsid w:val="007917C2"/>
    <w:rsid w:val="00792167"/>
    <w:rsid w:val="007950F8"/>
    <w:rsid w:val="007A023F"/>
    <w:rsid w:val="007A04EC"/>
    <w:rsid w:val="007A07C3"/>
    <w:rsid w:val="007A1275"/>
    <w:rsid w:val="007A330C"/>
    <w:rsid w:val="007A3470"/>
    <w:rsid w:val="007A6AB0"/>
    <w:rsid w:val="007A7747"/>
    <w:rsid w:val="007B0D67"/>
    <w:rsid w:val="007B1E10"/>
    <w:rsid w:val="007B47FE"/>
    <w:rsid w:val="007B494C"/>
    <w:rsid w:val="007B4C16"/>
    <w:rsid w:val="007B4EC3"/>
    <w:rsid w:val="007B4F10"/>
    <w:rsid w:val="007B63F7"/>
    <w:rsid w:val="007B7012"/>
    <w:rsid w:val="007B74EA"/>
    <w:rsid w:val="007C10BB"/>
    <w:rsid w:val="007C269F"/>
    <w:rsid w:val="007C2BA8"/>
    <w:rsid w:val="007C464F"/>
    <w:rsid w:val="007C5FE7"/>
    <w:rsid w:val="007C6D52"/>
    <w:rsid w:val="007C710D"/>
    <w:rsid w:val="007D0B6F"/>
    <w:rsid w:val="007D0BA6"/>
    <w:rsid w:val="007D105D"/>
    <w:rsid w:val="007D13D6"/>
    <w:rsid w:val="007D275B"/>
    <w:rsid w:val="007D337D"/>
    <w:rsid w:val="007D702C"/>
    <w:rsid w:val="007D7E74"/>
    <w:rsid w:val="007E1975"/>
    <w:rsid w:val="007E3228"/>
    <w:rsid w:val="007E458C"/>
    <w:rsid w:val="007E46A7"/>
    <w:rsid w:val="007E63C5"/>
    <w:rsid w:val="007E64D7"/>
    <w:rsid w:val="007E7196"/>
    <w:rsid w:val="007F2D9D"/>
    <w:rsid w:val="00800671"/>
    <w:rsid w:val="0080476B"/>
    <w:rsid w:val="00805779"/>
    <w:rsid w:val="0080729B"/>
    <w:rsid w:val="0081020C"/>
    <w:rsid w:val="008104D8"/>
    <w:rsid w:val="00811177"/>
    <w:rsid w:val="0081167E"/>
    <w:rsid w:val="00812BE8"/>
    <w:rsid w:val="00813207"/>
    <w:rsid w:val="008151CF"/>
    <w:rsid w:val="00815704"/>
    <w:rsid w:val="00815E3A"/>
    <w:rsid w:val="008165F3"/>
    <w:rsid w:val="00816A70"/>
    <w:rsid w:val="00824F04"/>
    <w:rsid w:val="008251BC"/>
    <w:rsid w:val="008306FA"/>
    <w:rsid w:val="00831D49"/>
    <w:rsid w:val="0083231B"/>
    <w:rsid w:val="00833E4C"/>
    <w:rsid w:val="0083576E"/>
    <w:rsid w:val="00837810"/>
    <w:rsid w:val="00840A92"/>
    <w:rsid w:val="00842258"/>
    <w:rsid w:val="00843990"/>
    <w:rsid w:val="00844374"/>
    <w:rsid w:val="00845F64"/>
    <w:rsid w:val="00851C59"/>
    <w:rsid w:val="0085217A"/>
    <w:rsid w:val="008526F4"/>
    <w:rsid w:val="00853168"/>
    <w:rsid w:val="00853237"/>
    <w:rsid w:val="00854B29"/>
    <w:rsid w:val="00860261"/>
    <w:rsid w:val="008604B3"/>
    <w:rsid w:val="008608EF"/>
    <w:rsid w:val="00860E6A"/>
    <w:rsid w:val="00862B0F"/>
    <w:rsid w:val="00863AE6"/>
    <w:rsid w:val="0086730C"/>
    <w:rsid w:val="008677D1"/>
    <w:rsid w:val="00867C4B"/>
    <w:rsid w:val="00870836"/>
    <w:rsid w:val="0087108B"/>
    <w:rsid w:val="00871F83"/>
    <w:rsid w:val="008720F0"/>
    <w:rsid w:val="00874298"/>
    <w:rsid w:val="00875465"/>
    <w:rsid w:val="00875496"/>
    <w:rsid w:val="008814B2"/>
    <w:rsid w:val="00882572"/>
    <w:rsid w:val="00884535"/>
    <w:rsid w:val="0088487F"/>
    <w:rsid w:val="00884D9F"/>
    <w:rsid w:val="00884DEA"/>
    <w:rsid w:val="00885BB7"/>
    <w:rsid w:val="008869FA"/>
    <w:rsid w:val="008877AE"/>
    <w:rsid w:val="00890E3C"/>
    <w:rsid w:val="00891378"/>
    <w:rsid w:val="008922FC"/>
    <w:rsid w:val="0089328A"/>
    <w:rsid w:val="00893448"/>
    <w:rsid w:val="0089458B"/>
    <w:rsid w:val="00894D26"/>
    <w:rsid w:val="00894EB0"/>
    <w:rsid w:val="00895947"/>
    <w:rsid w:val="00896EC6"/>
    <w:rsid w:val="00897950"/>
    <w:rsid w:val="008A10C7"/>
    <w:rsid w:val="008A194D"/>
    <w:rsid w:val="008A1A19"/>
    <w:rsid w:val="008A1AE6"/>
    <w:rsid w:val="008A1D18"/>
    <w:rsid w:val="008A2C43"/>
    <w:rsid w:val="008A3A7A"/>
    <w:rsid w:val="008B04EA"/>
    <w:rsid w:val="008B09D5"/>
    <w:rsid w:val="008B2438"/>
    <w:rsid w:val="008B37CE"/>
    <w:rsid w:val="008B4B49"/>
    <w:rsid w:val="008B6540"/>
    <w:rsid w:val="008B6A9B"/>
    <w:rsid w:val="008C035F"/>
    <w:rsid w:val="008C0B7B"/>
    <w:rsid w:val="008C16CB"/>
    <w:rsid w:val="008C4AFC"/>
    <w:rsid w:val="008C604D"/>
    <w:rsid w:val="008C6233"/>
    <w:rsid w:val="008C653F"/>
    <w:rsid w:val="008C6583"/>
    <w:rsid w:val="008C71B4"/>
    <w:rsid w:val="008C7A5F"/>
    <w:rsid w:val="008C7B7D"/>
    <w:rsid w:val="008D129D"/>
    <w:rsid w:val="008D1892"/>
    <w:rsid w:val="008D260C"/>
    <w:rsid w:val="008D539B"/>
    <w:rsid w:val="008D5B15"/>
    <w:rsid w:val="008D6F57"/>
    <w:rsid w:val="008D7FAF"/>
    <w:rsid w:val="008E0BED"/>
    <w:rsid w:val="008E1B99"/>
    <w:rsid w:val="008E55FF"/>
    <w:rsid w:val="008E6140"/>
    <w:rsid w:val="008E6767"/>
    <w:rsid w:val="008E6E07"/>
    <w:rsid w:val="008E7020"/>
    <w:rsid w:val="008F2151"/>
    <w:rsid w:val="008F3B72"/>
    <w:rsid w:val="008F3BFE"/>
    <w:rsid w:val="008F4A46"/>
    <w:rsid w:val="008F616F"/>
    <w:rsid w:val="008F7BDC"/>
    <w:rsid w:val="00901163"/>
    <w:rsid w:val="00902330"/>
    <w:rsid w:val="0090368D"/>
    <w:rsid w:val="00903ADF"/>
    <w:rsid w:val="00904DB7"/>
    <w:rsid w:val="00910351"/>
    <w:rsid w:val="00912C6C"/>
    <w:rsid w:val="009164CC"/>
    <w:rsid w:val="00916832"/>
    <w:rsid w:val="00917A8C"/>
    <w:rsid w:val="0092067D"/>
    <w:rsid w:val="00920B5D"/>
    <w:rsid w:val="0092113E"/>
    <w:rsid w:val="0092163B"/>
    <w:rsid w:val="00921888"/>
    <w:rsid w:val="00921C17"/>
    <w:rsid w:val="00922471"/>
    <w:rsid w:val="00923208"/>
    <w:rsid w:val="00926A9B"/>
    <w:rsid w:val="0093048F"/>
    <w:rsid w:val="00930870"/>
    <w:rsid w:val="00930B3B"/>
    <w:rsid w:val="009323D8"/>
    <w:rsid w:val="009328F1"/>
    <w:rsid w:val="00932D12"/>
    <w:rsid w:val="009330C9"/>
    <w:rsid w:val="00935FA1"/>
    <w:rsid w:val="00936518"/>
    <w:rsid w:val="0093659F"/>
    <w:rsid w:val="0093707B"/>
    <w:rsid w:val="0094121D"/>
    <w:rsid w:val="00941C49"/>
    <w:rsid w:val="0094339C"/>
    <w:rsid w:val="00943763"/>
    <w:rsid w:val="00944E35"/>
    <w:rsid w:val="0094634D"/>
    <w:rsid w:val="00947E1C"/>
    <w:rsid w:val="00950C87"/>
    <w:rsid w:val="009511B5"/>
    <w:rsid w:val="00951496"/>
    <w:rsid w:val="009535D0"/>
    <w:rsid w:val="00955580"/>
    <w:rsid w:val="00957979"/>
    <w:rsid w:val="009601CA"/>
    <w:rsid w:val="0096135E"/>
    <w:rsid w:val="0096228E"/>
    <w:rsid w:val="00963445"/>
    <w:rsid w:val="00963629"/>
    <w:rsid w:val="00964D51"/>
    <w:rsid w:val="00967DE1"/>
    <w:rsid w:val="009709C5"/>
    <w:rsid w:val="009722BA"/>
    <w:rsid w:val="00973182"/>
    <w:rsid w:val="009742D9"/>
    <w:rsid w:val="00975ACB"/>
    <w:rsid w:val="009770C0"/>
    <w:rsid w:val="0097740C"/>
    <w:rsid w:val="00981383"/>
    <w:rsid w:val="00982CA7"/>
    <w:rsid w:val="00982E07"/>
    <w:rsid w:val="00982E6F"/>
    <w:rsid w:val="009831C0"/>
    <w:rsid w:val="009832A6"/>
    <w:rsid w:val="0098386E"/>
    <w:rsid w:val="00984DFE"/>
    <w:rsid w:val="00984E1C"/>
    <w:rsid w:val="00985750"/>
    <w:rsid w:val="00985B52"/>
    <w:rsid w:val="00986319"/>
    <w:rsid w:val="00987A50"/>
    <w:rsid w:val="009904A1"/>
    <w:rsid w:val="009910A8"/>
    <w:rsid w:val="00991E09"/>
    <w:rsid w:val="00991F2B"/>
    <w:rsid w:val="0099203E"/>
    <w:rsid w:val="00994E2B"/>
    <w:rsid w:val="00995515"/>
    <w:rsid w:val="00995A11"/>
    <w:rsid w:val="009968A8"/>
    <w:rsid w:val="009A154D"/>
    <w:rsid w:val="009A1565"/>
    <w:rsid w:val="009A1C74"/>
    <w:rsid w:val="009A2061"/>
    <w:rsid w:val="009A3321"/>
    <w:rsid w:val="009A346B"/>
    <w:rsid w:val="009A3989"/>
    <w:rsid w:val="009A3E0B"/>
    <w:rsid w:val="009B0690"/>
    <w:rsid w:val="009B1E29"/>
    <w:rsid w:val="009B30EE"/>
    <w:rsid w:val="009B5685"/>
    <w:rsid w:val="009B61A4"/>
    <w:rsid w:val="009C086D"/>
    <w:rsid w:val="009C1368"/>
    <w:rsid w:val="009C1B54"/>
    <w:rsid w:val="009C2B2E"/>
    <w:rsid w:val="009C3E45"/>
    <w:rsid w:val="009C4387"/>
    <w:rsid w:val="009C7D44"/>
    <w:rsid w:val="009C7E27"/>
    <w:rsid w:val="009D1EE6"/>
    <w:rsid w:val="009D2219"/>
    <w:rsid w:val="009D298F"/>
    <w:rsid w:val="009D7D02"/>
    <w:rsid w:val="009E1F2C"/>
    <w:rsid w:val="009E2014"/>
    <w:rsid w:val="009E2463"/>
    <w:rsid w:val="009E675A"/>
    <w:rsid w:val="009F07BD"/>
    <w:rsid w:val="009F13B2"/>
    <w:rsid w:val="009F46FD"/>
    <w:rsid w:val="009F498E"/>
    <w:rsid w:val="009F4F9D"/>
    <w:rsid w:val="009F6013"/>
    <w:rsid w:val="009F61B7"/>
    <w:rsid w:val="009F61E3"/>
    <w:rsid w:val="00A008AE"/>
    <w:rsid w:val="00A01409"/>
    <w:rsid w:val="00A02CE4"/>
    <w:rsid w:val="00A03A09"/>
    <w:rsid w:val="00A04CA9"/>
    <w:rsid w:val="00A05D13"/>
    <w:rsid w:val="00A07717"/>
    <w:rsid w:val="00A07990"/>
    <w:rsid w:val="00A1055B"/>
    <w:rsid w:val="00A126E7"/>
    <w:rsid w:val="00A1504D"/>
    <w:rsid w:val="00A15F71"/>
    <w:rsid w:val="00A17263"/>
    <w:rsid w:val="00A17B1F"/>
    <w:rsid w:val="00A2000B"/>
    <w:rsid w:val="00A21103"/>
    <w:rsid w:val="00A241FC"/>
    <w:rsid w:val="00A260C0"/>
    <w:rsid w:val="00A2695F"/>
    <w:rsid w:val="00A3087C"/>
    <w:rsid w:val="00A3217D"/>
    <w:rsid w:val="00A329DE"/>
    <w:rsid w:val="00A36684"/>
    <w:rsid w:val="00A37B67"/>
    <w:rsid w:val="00A42B42"/>
    <w:rsid w:val="00A43C57"/>
    <w:rsid w:val="00A4415F"/>
    <w:rsid w:val="00A44CED"/>
    <w:rsid w:val="00A4513F"/>
    <w:rsid w:val="00A47D77"/>
    <w:rsid w:val="00A52DCD"/>
    <w:rsid w:val="00A53225"/>
    <w:rsid w:val="00A536B4"/>
    <w:rsid w:val="00A54934"/>
    <w:rsid w:val="00A54BC2"/>
    <w:rsid w:val="00A57795"/>
    <w:rsid w:val="00A579BE"/>
    <w:rsid w:val="00A60242"/>
    <w:rsid w:val="00A60AB5"/>
    <w:rsid w:val="00A60AD0"/>
    <w:rsid w:val="00A62171"/>
    <w:rsid w:val="00A635AD"/>
    <w:rsid w:val="00A64748"/>
    <w:rsid w:val="00A647B3"/>
    <w:rsid w:val="00A65894"/>
    <w:rsid w:val="00A66EA8"/>
    <w:rsid w:val="00A67489"/>
    <w:rsid w:val="00A709C9"/>
    <w:rsid w:val="00A70BAC"/>
    <w:rsid w:val="00A71CFD"/>
    <w:rsid w:val="00A75260"/>
    <w:rsid w:val="00A77800"/>
    <w:rsid w:val="00A804A7"/>
    <w:rsid w:val="00A82353"/>
    <w:rsid w:val="00A84812"/>
    <w:rsid w:val="00A8576E"/>
    <w:rsid w:val="00A87A51"/>
    <w:rsid w:val="00A91628"/>
    <w:rsid w:val="00A92CBA"/>
    <w:rsid w:val="00A94C45"/>
    <w:rsid w:val="00A970FB"/>
    <w:rsid w:val="00A977A5"/>
    <w:rsid w:val="00AA0F78"/>
    <w:rsid w:val="00AA1A8E"/>
    <w:rsid w:val="00AA2A50"/>
    <w:rsid w:val="00AA4F42"/>
    <w:rsid w:val="00AA5869"/>
    <w:rsid w:val="00AA6341"/>
    <w:rsid w:val="00AB090F"/>
    <w:rsid w:val="00AB14B2"/>
    <w:rsid w:val="00AB3BDE"/>
    <w:rsid w:val="00AB66F2"/>
    <w:rsid w:val="00AB697B"/>
    <w:rsid w:val="00AB74D0"/>
    <w:rsid w:val="00AB7C86"/>
    <w:rsid w:val="00AC03A0"/>
    <w:rsid w:val="00AC2ABA"/>
    <w:rsid w:val="00AC2B24"/>
    <w:rsid w:val="00AC2FAD"/>
    <w:rsid w:val="00AC481E"/>
    <w:rsid w:val="00AC49C1"/>
    <w:rsid w:val="00AC56C9"/>
    <w:rsid w:val="00AC632C"/>
    <w:rsid w:val="00AC6633"/>
    <w:rsid w:val="00AC70B7"/>
    <w:rsid w:val="00AC75C2"/>
    <w:rsid w:val="00AD01B4"/>
    <w:rsid w:val="00AD3975"/>
    <w:rsid w:val="00AD3FA6"/>
    <w:rsid w:val="00AD4C85"/>
    <w:rsid w:val="00AD4D1E"/>
    <w:rsid w:val="00AD5080"/>
    <w:rsid w:val="00AE363D"/>
    <w:rsid w:val="00AE48A3"/>
    <w:rsid w:val="00AE4D20"/>
    <w:rsid w:val="00AE709F"/>
    <w:rsid w:val="00AE71AB"/>
    <w:rsid w:val="00AF03F6"/>
    <w:rsid w:val="00AF174C"/>
    <w:rsid w:val="00AF3118"/>
    <w:rsid w:val="00AF451D"/>
    <w:rsid w:val="00AF589E"/>
    <w:rsid w:val="00AF5963"/>
    <w:rsid w:val="00AF63B8"/>
    <w:rsid w:val="00AF7372"/>
    <w:rsid w:val="00AF7AF3"/>
    <w:rsid w:val="00AF7D11"/>
    <w:rsid w:val="00B0426A"/>
    <w:rsid w:val="00B0461A"/>
    <w:rsid w:val="00B06D9A"/>
    <w:rsid w:val="00B07A61"/>
    <w:rsid w:val="00B07B97"/>
    <w:rsid w:val="00B07E65"/>
    <w:rsid w:val="00B100EC"/>
    <w:rsid w:val="00B109A7"/>
    <w:rsid w:val="00B10CE0"/>
    <w:rsid w:val="00B11EFA"/>
    <w:rsid w:val="00B1208C"/>
    <w:rsid w:val="00B120DC"/>
    <w:rsid w:val="00B124C7"/>
    <w:rsid w:val="00B1261A"/>
    <w:rsid w:val="00B12768"/>
    <w:rsid w:val="00B14A5D"/>
    <w:rsid w:val="00B15507"/>
    <w:rsid w:val="00B16C05"/>
    <w:rsid w:val="00B170FD"/>
    <w:rsid w:val="00B17F74"/>
    <w:rsid w:val="00B2323A"/>
    <w:rsid w:val="00B238A4"/>
    <w:rsid w:val="00B23911"/>
    <w:rsid w:val="00B25264"/>
    <w:rsid w:val="00B256F4"/>
    <w:rsid w:val="00B260F6"/>
    <w:rsid w:val="00B26115"/>
    <w:rsid w:val="00B26E19"/>
    <w:rsid w:val="00B30D44"/>
    <w:rsid w:val="00B32FA0"/>
    <w:rsid w:val="00B33160"/>
    <w:rsid w:val="00B355A0"/>
    <w:rsid w:val="00B35A30"/>
    <w:rsid w:val="00B35C38"/>
    <w:rsid w:val="00B3707E"/>
    <w:rsid w:val="00B37753"/>
    <w:rsid w:val="00B4027F"/>
    <w:rsid w:val="00B4110A"/>
    <w:rsid w:val="00B41739"/>
    <w:rsid w:val="00B424FA"/>
    <w:rsid w:val="00B43E46"/>
    <w:rsid w:val="00B44882"/>
    <w:rsid w:val="00B45BA7"/>
    <w:rsid w:val="00B45CA7"/>
    <w:rsid w:val="00B46BC3"/>
    <w:rsid w:val="00B46FD7"/>
    <w:rsid w:val="00B507B4"/>
    <w:rsid w:val="00B513B5"/>
    <w:rsid w:val="00B51A8C"/>
    <w:rsid w:val="00B532BD"/>
    <w:rsid w:val="00B5342C"/>
    <w:rsid w:val="00B54734"/>
    <w:rsid w:val="00B556C6"/>
    <w:rsid w:val="00B55940"/>
    <w:rsid w:val="00B57FE4"/>
    <w:rsid w:val="00B6101C"/>
    <w:rsid w:val="00B6211F"/>
    <w:rsid w:val="00B63ABF"/>
    <w:rsid w:val="00B65683"/>
    <w:rsid w:val="00B65E76"/>
    <w:rsid w:val="00B66866"/>
    <w:rsid w:val="00B66EA1"/>
    <w:rsid w:val="00B709F6"/>
    <w:rsid w:val="00B70D22"/>
    <w:rsid w:val="00B714F3"/>
    <w:rsid w:val="00B73517"/>
    <w:rsid w:val="00B73A56"/>
    <w:rsid w:val="00B77F7D"/>
    <w:rsid w:val="00B801B2"/>
    <w:rsid w:val="00B806DF"/>
    <w:rsid w:val="00B81B3D"/>
    <w:rsid w:val="00B81BBF"/>
    <w:rsid w:val="00B81F0E"/>
    <w:rsid w:val="00B824B9"/>
    <w:rsid w:val="00B82E53"/>
    <w:rsid w:val="00B82F4B"/>
    <w:rsid w:val="00B83559"/>
    <w:rsid w:val="00B844F5"/>
    <w:rsid w:val="00B85EED"/>
    <w:rsid w:val="00B87649"/>
    <w:rsid w:val="00B93F1B"/>
    <w:rsid w:val="00B94CFA"/>
    <w:rsid w:val="00B958A2"/>
    <w:rsid w:val="00B95F54"/>
    <w:rsid w:val="00B976D3"/>
    <w:rsid w:val="00B97715"/>
    <w:rsid w:val="00B977A7"/>
    <w:rsid w:val="00BA1232"/>
    <w:rsid w:val="00BA417B"/>
    <w:rsid w:val="00BA4756"/>
    <w:rsid w:val="00BA693E"/>
    <w:rsid w:val="00BA7301"/>
    <w:rsid w:val="00BA7987"/>
    <w:rsid w:val="00BA7FAC"/>
    <w:rsid w:val="00BB1B35"/>
    <w:rsid w:val="00BB2AB6"/>
    <w:rsid w:val="00BB4C63"/>
    <w:rsid w:val="00BB5178"/>
    <w:rsid w:val="00BB581E"/>
    <w:rsid w:val="00BB71A5"/>
    <w:rsid w:val="00BC0290"/>
    <w:rsid w:val="00BC0431"/>
    <w:rsid w:val="00BC0AD2"/>
    <w:rsid w:val="00BC2842"/>
    <w:rsid w:val="00BC38F0"/>
    <w:rsid w:val="00BC3943"/>
    <w:rsid w:val="00BC5D65"/>
    <w:rsid w:val="00BC7290"/>
    <w:rsid w:val="00BD23CB"/>
    <w:rsid w:val="00BD2E2E"/>
    <w:rsid w:val="00BD3183"/>
    <w:rsid w:val="00BD3393"/>
    <w:rsid w:val="00BD378A"/>
    <w:rsid w:val="00BD588B"/>
    <w:rsid w:val="00BD5C0F"/>
    <w:rsid w:val="00BD7F2B"/>
    <w:rsid w:val="00BE1577"/>
    <w:rsid w:val="00BE3738"/>
    <w:rsid w:val="00BE3EBD"/>
    <w:rsid w:val="00BE5E65"/>
    <w:rsid w:val="00BE6BC4"/>
    <w:rsid w:val="00BE6E9D"/>
    <w:rsid w:val="00BE7D6B"/>
    <w:rsid w:val="00BF25B9"/>
    <w:rsid w:val="00BF39E7"/>
    <w:rsid w:val="00BF4015"/>
    <w:rsid w:val="00BF4E5F"/>
    <w:rsid w:val="00BF5889"/>
    <w:rsid w:val="00BF79AE"/>
    <w:rsid w:val="00C000F6"/>
    <w:rsid w:val="00C003F1"/>
    <w:rsid w:val="00C01524"/>
    <w:rsid w:val="00C045CF"/>
    <w:rsid w:val="00C05663"/>
    <w:rsid w:val="00C05BBB"/>
    <w:rsid w:val="00C05E96"/>
    <w:rsid w:val="00C069BE"/>
    <w:rsid w:val="00C0711B"/>
    <w:rsid w:val="00C07321"/>
    <w:rsid w:val="00C07A53"/>
    <w:rsid w:val="00C132F5"/>
    <w:rsid w:val="00C13B77"/>
    <w:rsid w:val="00C13CC8"/>
    <w:rsid w:val="00C14A02"/>
    <w:rsid w:val="00C15D90"/>
    <w:rsid w:val="00C173FD"/>
    <w:rsid w:val="00C17F9A"/>
    <w:rsid w:val="00C20BF5"/>
    <w:rsid w:val="00C20DF7"/>
    <w:rsid w:val="00C229E5"/>
    <w:rsid w:val="00C22AEE"/>
    <w:rsid w:val="00C22EA2"/>
    <w:rsid w:val="00C26203"/>
    <w:rsid w:val="00C31E92"/>
    <w:rsid w:val="00C33E44"/>
    <w:rsid w:val="00C345F2"/>
    <w:rsid w:val="00C34EA3"/>
    <w:rsid w:val="00C34F29"/>
    <w:rsid w:val="00C361A0"/>
    <w:rsid w:val="00C36BB8"/>
    <w:rsid w:val="00C37744"/>
    <w:rsid w:val="00C4075E"/>
    <w:rsid w:val="00C41238"/>
    <w:rsid w:val="00C4146D"/>
    <w:rsid w:val="00C42099"/>
    <w:rsid w:val="00C44513"/>
    <w:rsid w:val="00C448E2"/>
    <w:rsid w:val="00C44CD3"/>
    <w:rsid w:val="00C50426"/>
    <w:rsid w:val="00C50B83"/>
    <w:rsid w:val="00C52A0E"/>
    <w:rsid w:val="00C52F11"/>
    <w:rsid w:val="00C52F40"/>
    <w:rsid w:val="00C5522C"/>
    <w:rsid w:val="00C55670"/>
    <w:rsid w:val="00C55EEC"/>
    <w:rsid w:val="00C57DA7"/>
    <w:rsid w:val="00C60335"/>
    <w:rsid w:val="00C60BFF"/>
    <w:rsid w:val="00C625C9"/>
    <w:rsid w:val="00C64709"/>
    <w:rsid w:val="00C64D4C"/>
    <w:rsid w:val="00C65C59"/>
    <w:rsid w:val="00C66817"/>
    <w:rsid w:val="00C668EF"/>
    <w:rsid w:val="00C6782E"/>
    <w:rsid w:val="00C679B3"/>
    <w:rsid w:val="00C67F02"/>
    <w:rsid w:val="00C701EE"/>
    <w:rsid w:val="00C71789"/>
    <w:rsid w:val="00C7263A"/>
    <w:rsid w:val="00C737D6"/>
    <w:rsid w:val="00C74EC0"/>
    <w:rsid w:val="00C759E6"/>
    <w:rsid w:val="00C8041E"/>
    <w:rsid w:val="00C80A2C"/>
    <w:rsid w:val="00C84225"/>
    <w:rsid w:val="00C85CD2"/>
    <w:rsid w:val="00C87C71"/>
    <w:rsid w:val="00C900D2"/>
    <w:rsid w:val="00C92916"/>
    <w:rsid w:val="00C93BA0"/>
    <w:rsid w:val="00C94086"/>
    <w:rsid w:val="00C96173"/>
    <w:rsid w:val="00C97053"/>
    <w:rsid w:val="00C9745F"/>
    <w:rsid w:val="00C97F7B"/>
    <w:rsid w:val="00CA2038"/>
    <w:rsid w:val="00CA5C96"/>
    <w:rsid w:val="00CA7B09"/>
    <w:rsid w:val="00CB387F"/>
    <w:rsid w:val="00CB4481"/>
    <w:rsid w:val="00CB5C89"/>
    <w:rsid w:val="00CB604F"/>
    <w:rsid w:val="00CB6676"/>
    <w:rsid w:val="00CC171E"/>
    <w:rsid w:val="00CC2CCD"/>
    <w:rsid w:val="00CC3C1E"/>
    <w:rsid w:val="00CC46ED"/>
    <w:rsid w:val="00CC4B54"/>
    <w:rsid w:val="00CC5077"/>
    <w:rsid w:val="00CC5FB5"/>
    <w:rsid w:val="00CD0358"/>
    <w:rsid w:val="00CD20B4"/>
    <w:rsid w:val="00CD365D"/>
    <w:rsid w:val="00CD5741"/>
    <w:rsid w:val="00CD6178"/>
    <w:rsid w:val="00CD744F"/>
    <w:rsid w:val="00CD7BEB"/>
    <w:rsid w:val="00CE074D"/>
    <w:rsid w:val="00CE07FB"/>
    <w:rsid w:val="00CE10E3"/>
    <w:rsid w:val="00CE12F1"/>
    <w:rsid w:val="00CE22AA"/>
    <w:rsid w:val="00CE2846"/>
    <w:rsid w:val="00CE3231"/>
    <w:rsid w:val="00CE4CF8"/>
    <w:rsid w:val="00CE5248"/>
    <w:rsid w:val="00CE5ECE"/>
    <w:rsid w:val="00CF0221"/>
    <w:rsid w:val="00CF2FD8"/>
    <w:rsid w:val="00CF521F"/>
    <w:rsid w:val="00CF560A"/>
    <w:rsid w:val="00CF56E4"/>
    <w:rsid w:val="00CF5A73"/>
    <w:rsid w:val="00CF5AC4"/>
    <w:rsid w:val="00CF6796"/>
    <w:rsid w:val="00D00453"/>
    <w:rsid w:val="00D02791"/>
    <w:rsid w:val="00D046BD"/>
    <w:rsid w:val="00D0495A"/>
    <w:rsid w:val="00D04D23"/>
    <w:rsid w:val="00D061F6"/>
    <w:rsid w:val="00D06DD5"/>
    <w:rsid w:val="00D103D6"/>
    <w:rsid w:val="00D139BB"/>
    <w:rsid w:val="00D13F91"/>
    <w:rsid w:val="00D146E4"/>
    <w:rsid w:val="00D15D7E"/>
    <w:rsid w:val="00D17516"/>
    <w:rsid w:val="00D17938"/>
    <w:rsid w:val="00D22279"/>
    <w:rsid w:val="00D22A58"/>
    <w:rsid w:val="00D24BC8"/>
    <w:rsid w:val="00D25AA4"/>
    <w:rsid w:val="00D26C82"/>
    <w:rsid w:val="00D26DC3"/>
    <w:rsid w:val="00D31EE8"/>
    <w:rsid w:val="00D33134"/>
    <w:rsid w:val="00D33DE0"/>
    <w:rsid w:val="00D343DD"/>
    <w:rsid w:val="00D404F2"/>
    <w:rsid w:val="00D41360"/>
    <w:rsid w:val="00D415FC"/>
    <w:rsid w:val="00D42CFF"/>
    <w:rsid w:val="00D43FF5"/>
    <w:rsid w:val="00D44AB2"/>
    <w:rsid w:val="00D4698D"/>
    <w:rsid w:val="00D469D0"/>
    <w:rsid w:val="00D46DD0"/>
    <w:rsid w:val="00D4728B"/>
    <w:rsid w:val="00D47D61"/>
    <w:rsid w:val="00D50441"/>
    <w:rsid w:val="00D50BB6"/>
    <w:rsid w:val="00D50EBA"/>
    <w:rsid w:val="00D52576"/>
    <w:rsid w:val="00D54F1D"/>
    <w:rsid w:val="00D5643C"/>
    <w:rsid w:val="00D56874"/>
    <w:rsid w:val="00D604CD"/>
    <w:rsid w:val="00D60B5F"/>
    <w:rsid w:val="00D60D8C"/>
    <w:rsid w:val="00D60F45"/>
    <w:rsid w:val="00D61161"/>
    <w:rsid w:val="00D6525F"/>
    <w:rsid w:val="00D655AA"/>
    <w:rsid w:val="00D65FE9"/>
    <w:rsid w:val="00D70677"/>
    <w:rsid w:val="00D7215B"/>
    <w:rsid w:val="00D72288"/>
    <w:rsid w:val="00D72436"/>
    <w:rsid w:val="00D73DCB"/>
    <w:rsid w:val="00D75CCB"/>
    <w:rsid w:val="00D75EB1"/>
    <w:rsid w:val="00D8103E"/>
    <w:rsid w:val="00D81FAA"/>
    <w:rsid w:val="00D83984"/>
    <w:rsid w:val="00D83D35"/>
    <w:rsid w:val="00D84768"/>
    <w:rsid w:val="00D851C5"/>
    <w:rsid w:val="00D856F9"/>
    <w:rsid w:val="00D86AC8"/>
    <w:rsid w:val="00D87A64"/>
    <w:rsid w:val="00D91959"/>
    <w:rsid w:val="00D93ED0"/>
    <w:rsid w:val="00D93FA7"/>
    <w:rsid w:val="00D93FCD"/>
    <w:rsid w:val="00D9564F"/>
    <w:rsid w:val="00D9596F"/>
    <w:rsid w:val="00D95DA9"/>
    <w:rsid w:val="00D9701A"/>
    <w:rsid w:val="00D97379"/>
    <w:rsid w:val="00DA1059"/>
    <w:rsid w:val="00DA2067"/>
    <w:rsid w:val="00DA246A"/>
    <w:rsid w:val="00DA6579"/>
    <w:rsid w:val="00DA6D1C"/>
    <w:rsid w:val="00DA702E"/>
    <w:rsid w:val="00DA78FE"/>
    <w:rsid w:val="00DB0320"/>
    <w:rsid w:val="00DB3BDA"/>
    <w:rsid w:val="00DB5447"/>
    <w:rsid w:val="00DB55FE"/>
    <w:rsid w:val="00DB687A"/>
    <w:rsid w:val="00DB6DF6"/>
    <w:rsid w:val="00DB7448"/>
    <w:rsid w:val="00DC25E0"/>
    <w:rsid w:val="00DC4A9E"/>
    <w:rsid w:val="00DC4C68"/>
    <w:rsid w:val="00DC4FF8"/>
    <w:rsid w:val="00DD07F8"/>
    <w:rsid w:val="00DD1315"/>
    <w:rsid w:val="00DD191B"/>
    <w:rsid w:val="00DD1B81"/>
    <w:rsid w:val="00DD30DB"/>
    <w:rsid w:val="00DD3855"/>
    <w:rsid w:val="00DD391E"/>
    <w:rsid w:val="00DD49E1"/>
    <w:rsid w:val="00DD5E06"/>
    <w:rsid w:val="00DD779F"/>
    <w:rsid w:val="00DD7873"/>
    <w:rsid w:val="00DE3340"/>
    <w:rsid w:val="00DE4DF3"/>
    <w:rsid w:val="00DE4E35"/>
    <w:rsid w:val="00DE528D"/>
    <w:rsid w:val="00DE5D0A"/>
    <w:rsid w:val="00DE5F34"/>
    <w:rsid w:val="00DE6D63"/>
    <w:rsid w:val="00DF0326"/>
    <w:rsid w:val="00DF1595"/>
    <w:rsid w:val="00DF1CAD"/>
    <w:rsid w:val="00DF23AE"/>
    <w:rsid w:val="00DF2D15"/>
    <w:rsid w:val="00DF3B62"/>
    <w:rsid w:val="00DF3E25"/>
    <w:rsid w:val="00DF4A39"/>
    <w:rsid w:val="00DF4D38"/>
    <w:rsid w:val="00DF5B07"/>
    <w:rsid w:val="00DF7595"/>
    <w:rsid w:val="00E023E4"/>
    <w:rsid w:val="00E0241C"/>
    <w:rsid w:val="00E0313C"/>
    <w:rsid w:val="00E03877"/>
    <w:rsid w:val="00E055D6"/>
    <w:rsid w:val="00E06257"/>
    <w:rsid w:val="00E06651"/>
    <w:rsid w:val="00E07AB4"/>
    <w:rsid w:val="00E11DF4"/>
    <w:rsid w:val="00E11E93"/>
    <w:rsid w:val="00E14F1F"/>
    <w:rsid w:val="00E1747C"/>
    <w:rsid w:val="00E179F3"/>
    <w:rsid w:val="00E206B0"/>
    <w:rsid w:val="00E20DA0"/>
    <w:rsid w:val="00E21EC5"/>
    <w:rsid w:val="00E23A10"/>
    <w:rsid w:val="00E23B01"/>
    <w:rsid w:val="00E24739"/>
    <w:rsid w:val="00E3187F"/>
    <w:rsid w:val="00E31E26"/>
    <w:rsid w:val="00E324AB"/>
    <w:rsid w:val="00E328E2"/>
    <w:rsid w:val="00E332A9"/>
    <w:rsid w:val="00E36E54"/>
    <w:rsid w:val="00E379E0"/>
    <w:rsid w:val="00E37E19"/>
    <w:rsid w:val="00E40320"/>
    <w:rsid w:val="00E406EE"/>
    <w:rsid w:val="00E41255"/>
    <w:rsid w:val="00E425A4"/>
    <w:rsid w:val="00E42B0D"/>
    <w:rsid w:val="00E4352F"/>
    <w:rsid w:val="00E4387F"/>
    <w:rsid w:val="00E45C3B"/>
    <w:rsid w:val="00E504ED"/>
    <w:rsid w:val="00E51A8F"/>
    <w:rsid w:val="00E54052"/>
    <w:rsid w:val="00E54182"/>
    <w:rsid w:val="00E54C63"/>
    <w:rsid w:val="00E55266"/>
    <w:rsid w:val="00E553E6"/>
    <w:rsid w:val="00E55408"/>
    <w:rsid w:val="00E600B7"/>
    <w:rsid w:val="00E60398"/>
    <w:rsid w:val="00E609A6"/>
    <w:rsid w:val="00E61645"/>
    <w:rsid w:val="00E641C4"/>
    <w:rsid w:val="00E653D2"/>
    <w:rsid w:val="00E65755"/>
    <w:rsid w:val="00E66C85"/>
    <w:rsid w:val="00E6725E"/>
    <w:rsid w:val="00E70D92"/>
    <w:rsid w:val="00E71980"/>
    <w:rsid w:val="00E72E4F"/>
    <w:rsid w:val="00E75FCE"/>
    <w:rsid w:val="00E76EA7"/>
    <w:rsid w:val="00E77D72"/>
    <w:rsid w:val="00E801B3"/>
    <w:rsid w:val="00E80681"/>
    <w:rsid w:val="00E80BA4"/>
    <w:rsid w:val="00E82324"/>
    <w:rsid w:val="00E8232B"/>
    <w:rsid w:val="00E8305A"/>
    <w:rsid w:val="00E833EB"/>
    <w:rsid w:val="00E83AC3"/>
    <w:rsid w:val="00E857CA"/>
    <w:rsid w:val="00E85CA5"/>
    <w:rsid w:val="00E8636A"/>
    <w:rsid w:val="00E867D1"/>
    <w:rsid w:val="00E91C57"/>
    <w:rsid w:val="00E93AEF"/>
    <w:rsid w:val="00E96634"/>
    <w:rsid w:val="00E96732"/>
    <w:rsid w:val="00E975C8"/>
    <w:rsid w:val="00E97CA6"/>
    <w:rsid w:val="00EA098A"/>
    <w:rsid w:val="00EA25BD"/>
    <w:rsid w:val="00EA4ACF"/>
    <w:rsid w:val="00EA571B"/>
    <w:rsid w:val="00EA6081"/>
    <w:rsid w:val="00EA65D0"/>
    <w:rsid w:val="00EA7753"/>
    <w:rsid w:val="00EA78FC"/>
    <w:rsid w:val="00EB1089"/>
    <w:rsid w:val="00EB127E"/>
    <w:rsid w:val="00EB15FF"/>
    <w:rsid w:val="00EB3B29"/>
    <w:rsid w:val="00EB7048"/>
    <w:rsid w:val="00EB7E51"/>
    <w:rsid w:val="00EC033F"/>
    <w:rsid w:val="00EC0D75"/>
    <w:rsid w:val="00EC1074"/>
    <w:rsid w:val="00EC19DE"/>
    <w:rsid w:val="00EC1F0E"/>
    <w:rsid w:val="00EC33BA"/>
    <w:rsid w:val="00EC3A8E"/>
    <w:rsid w:val="00EC4770"/>
    <w:rsid w:val="00EC4A5F"/>
    <w:rsid w:val="00EC6205"/>
    <w:rsid w:val="00EC752E"/>
    <w:rsid w:val="00ED0561"/>
    <w:rsid w:val="00ED1F02"/>
    <w:rsid w:val="00ED3876"/>
    <w:rsid w:val="00ED3DCC"/>
    <w:rsid w:val="00ED532E"/>
    <w:rsid w:val="00ED5397"/>
    <w:rsid w:val="00ED565C"/>
    <w:rsid w:val="00EE5C9B"/>
    <w:rsid w:val="00EE6939"/>
    <w:rsid w:val="00EE71C9"/>
    <w:rsid w:val="00EF2A23"/>
    <w:rsid w:val="00EF2DBA"/>
    <w:rsid w:val="00EF3DF2"/>
    <w:rsid w:val="00EF3E91"/>
    <w:rsid w:val="00EF5BB7"/>
    <w:rsid w:val="00EF5FA8"/>
    <w:rsid w:val="00EF699C"/>
    <w:rsid w:val="00EF7035"/>
    <w:rsid w:val="00EF7F53"/>
    <w:rsid w:val="00F00201"/>
    <w:rsid w:val="00F01178"/>
    <w:rsid w:val="00F02D35"/>
    <w:rsid w:val="00F03E65"/>
    <w:rsid w:val="00F040F9"/>
    <w:rsid w:val="00F05A92"/>
    <w:rsid w:val="00F05C13"/>
    <w:rsid w:val="00F07265"/>
    <w:rsid w:val="00F07710"/>
    <w:rsid w:val="00F11943"/>
    <w:rsid w:val="00F13AFD"/>
    <w:rsid w:val="00F1408E"/>
    <w:rsid w:val="00F16D42"/>
    <w:rsid w:val="00F20CD4"/>
    <w:rsid w:val="00F218BF"/>
    <w:rsid w:val="00F2210D"/>
    <w:rsid w:val="00F23629"/>
    <w:rsid w:val="00F264BC"/>
    <w:rsid w:val="00F2655B"/>
    <w:rsid w:val="00F27BA2"/>
    <w:rsid w:val="00F307A9"/>
    <w:rsid w:val="00F32506"/>
    <w:rsid w:val="00F325D7"/>
    <w:rsid w:val="00F32F5B"/>
    <w:rsid w:val="00F33633"/>
    <w:rsid w:val="00F33B58"/>
    <w:rsid w:val="00F343A9"/>
    <w:rsid w:val="00F35015"/>
    <w:rsid w:val="00F36B3A"/>
    <w:rsid w:val="00F37D22"/>
    <w:rsid w:val="00F40764"/>
    <w:rsid w:val="00F4222B"/>
    <w:rsid w:val="00F426A8"/>
    <w:rsid w:val="00F429CF"/>
    <w:rsid w:val="00F444FF"/>
    <w:rsid w:val="00F456E2"/>
    <w:rsid w:val="00F45A76"/>
    <w:rsid w:val="00F46378"/>
    <w:rsid w:val="00F4738B"/>
    <w:rsid w:val="00F4749E"/>
    <w:rsid w:val="00F504F7"/>
    <w:rsid w:val="00F528BC"/>
    <w:rsid w:val="00F54275"/>
    <w:rsid w:val="00F54340"/>
    <w:rsid w:val="00F5781F"/>
    <w:rsid w:val="00F61759"/>
    <w:rsid w:val="00F64C23"/>
    <w:rsid w:val="00F64D18"/>
    <w:rsid w:val="00F66BAD"/>
    <w:rsid w:val="00F66D2D"/>
    <w:rsid w:val="00F671DC"/>
    <w:rsid w:val="00F710E9"/>
    <w:rsid w:val="00F72C8A"/>
    <w:rsid w:val="00F73044"/>
    <w:rsid w:val="00F74A25"/>
    <w:rsid w:val="00F76636"/>
    <w:rsid w:val="00F800EE"/>
    <w:rsid w:val="00F811F1"/>
    <w:rsid w:val="00F82ED3"/>
    <w:rsid w:val="00F8325B"/>
    <w:rsid w:val="00F84D07"/>
    <w:rsid w:val="00F86366"/>
    <w:rsid w:val="00F86829"/>
    <w:rsid w:val="00F869F7"/>
    <w:rsid w:val="00F9061B"/>
    <w:rsid w:val="00F90E62"/>
    <w:rsid w:val="00F91BEE"/>
    <w:rsid w:val="00F92A81"/>
    <w:rsid w:val="00F9417C"/>
    <w:rsid w:val="00F94270"/>
    <w:rsid w:val="00F95617"/>
    <w:rsid w:val="00F9636C"/>
    <w:rsid w:val="00FA0CAC"/>
    <w:rsid w:val="00FA1021"/>
    <w:rsid w:val="00FA2084"/>
    <w:rsid w:val="00FA4FBD"/>
    <w:rsid w:val="00FA5A67"/>
    <w:rsid w:val="00FA7CA3"/>
    <w:rsid w:val="00FA7EC3"/>
    <w:rsid w:val="00FB46EA"/>
    <w:rsid w:val="00FB77C9"/>
    <w:rsid w:val="00FC130B"/>
    <w:rsid w:val="00FC29EF"/>
    <w:rsid w:val="00FC311A"/>
    <w:rsid w:val="00FC34B0"/>
    <w:rsid w:val="00FC3BD6"/>
    <w:rsid w:val="00FC5706"/>
    <w:rsid w:val="00FC748B"/>
    <w:rsid w:val="00FC7A74"/>
    <w:rsid w:val="00FC7F6F"/>
    <w:rsid w:val="00FD0D19"/>
    <w:rsid w:val="00FD2593"/>
    <w:rsid w:val="00FD3261"/>
    <w:rsid w:val="00FD4D8B"/>
    <w:rsid w:val="00FD55F3"/>
    <w:rsid w:val="00FD6F42"/>
    <w:rsid w:val="00FE1323"/>
    <w:rsid w:val="00FE1410"/>
    <w:rsid w:val="00FE14A1"/>
    <w:rsid w:val="00FE150D"/>
    <w:rsid w:val="00FE2964"/>
    <w:rsid w:val="00FE2D67"/>
    <w:rsid w:val="00FE7A19"/>
    <w:rsid w:val="00FF0068"/>
    <w:rsid w:val="00FF10D3"/>
    <w:rsid w:val="00FF27E4"/>
    <w:rsid w:val="00FF2D27"/>
    <w:rsid w:val="00FF5533"/>
    <w:rsid w:val="00FF6532"/>
    <w:rsid w:val="00FF6BAE"/>
    <w:rsid w:val="00FF6DF8"/>
    <w:rsid w:val="00FF72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7"/>
        <o:r id="V:Rule2" type="connector" idref="#_x0000_s1030"/>
        <o:r id="V:Rule3" type="connector" idref="#_x0000_s1026"/>
      </o:rules>
    </o:shapelayout>
  </w:shapeDefaults>
  <w:decimalSymbol w:val="."/>
  <w:listSeparator w:val=","/>
  <w14:docId w14:val="1ABF2B3B"/>
  <w15:docId w15:val="{4D22EFFB-E150-45AA-8C65-A7C426AF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764"/>
    <w:pPr>
      <w:spacing w:after="0" w:line="240" w:lineRule="auto"/>
    </w:pPr>
    <w:rPr>
      <w:rFonts w:eastAsia="Times New Roman"/>
      <w:kern w:val="0"/>
      <w:sz w:val="28"/>
      <w:szCs w:val="28"/>
    </w:rPr>
  </w:style>
  <w:style w:type="paragraph" w:styleId="Heading1">
    <w:name w:val="heading 1"/>
    <w:basedOn w:val="Normal"/>
    <w:next w:val="Normal"/>
    <w:link w:val="Heading1Char"/>
    <w:uiPriority w:val="9"/>
    <w:qFormat/>
    <w:rsid w:val="00393E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3E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3EED"/>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393EE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93EE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93EE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3EE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3EE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3EE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E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3E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3EE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3EE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3EE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3EE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3EE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3EE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3EE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3E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E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3EED"/>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393EE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3EED"/>
    <w:pPr>
      <w:spacing w:before="160"/>
      <w:jc w:val="center"/>
    </w:pPr>
    <w:rPr>
      <w:i/>
      <w:iCs/>
      <w:color w:val="404040" w:themeColor="text1" w:themeTint="BF"/>
    </w:rPr>
  </w:style>
  <w:style w:type="character" w:customStyle="1" w:styleId="QuoteChar">
    <w:name w:val="Quote Char"/>
    <w:basedOn w:val="DefaultParagraphFont"/>
    <w:link w:val="Quote"/>
    <w:uiPriority w:val="29"/>
    <w:rsid w:val="00393EED"/>
    <w:rPr>
      <w:i/>
      <w:iCs/>
      <w:color w:val="404040" w:themeColor="text1" w:themeTint="BF"/>
    </w:rPr>
  </w:style>
  <w:style w:type="paragraph" w:styleId="ListParagraph">
    <w:name w:val="List Paragraph"/>
    <w:basedOn w:val="Normal"/>
    <w:uiPriority w:val="34"/>
    <w:qFormat/>
    <w:rsid w:val="00393EED"/>
    <w:pPr>
      <w:ind w:left="720"/>
      <w:contextualSpacing/>
    </w:pPr>
  </w:style>
  <w:style w:type="character" w:styleId="IntenseEmphasis">
    <w:name w:val="Intense Emphasis"/>
    <w:basedOn w:val="DefaultParagraphFont"/>
    <w:uiPriority w:val="21"/>
    <w:qFormat/>
    <w:rsid w:val="00393EED"/>
    <w:rPr>
      <w:i/>
      <w:iCs/>
      <w:color w:val="2F5496" w:themeColor="accent1" w:themeShade="BF"/>
    </w:rPr>
  </w:style>
  <w:style w:type="paragraph" w:styleId="IntenseQuote">
    <w:name w:val="Intense Quote"/>
    <w:basedOn w:val="Normal"/>
    <w:next w:val="Normal"/>
    <w:link w:val="IntenseQuoteChar"/>
    <w:uiPriority w:val="30"/>
    <w:qFormat/>
    <w:rsid w:val="00393E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3EED"/>
    <w:rPr>
      <w:i/>
      <w:iCs/>
      <w:color w:val="2F5496" w:themeColor="accent1" w:themeShade="BF"/>
    </w:rPr>
  </w:style>
  <w:style w:type="character" w:styleId="IntenseReference">
    <w:name w:val="Intense Reference"/>
    <w:basedOn w:val="DefaultParagraphFont"/>
    <w:uiPriority w:val="32"/>
    <w:qFormat/>
    <w:rsid w:val="00393EED"/>
    <w:rPr>
      <w:b/>
      <w:bCs/>
      <w:smallCaps/>
      <w:color w:val="2F5496" w:themeColor="accent1" w:themeShade="BF"/>
      <w:spacing w:val="5"/>
    </w:rPr>
  </w:style>
  <w:style w:type="paragraph" w:customStyle="1" w:styleId="Char4">
    <w:name w:val="Char4"/>
    <w:basedOn w:val="Normal"/>
    <w:semiHidden/>
    <w:rsid w:val="00393EED"/>
    <w:pPr>
      <w:spacing w:after="160" w:line="240" w:lineRule="exact"/>
    </w:pPr>
    <w:rPr>
      <w:rFonts w:ascii="Arial" w:hAnsi="Arial" w:cs="Arial"/>
      <w:sz w:val="22"/>
      <w:szCs w:val="22"/>
    </w:rPr>
  </w:style>
  <w:style w:type="paragraph" w:styleId="FootnoteText">
    <w:name w:val="footnote text"/>
    <w:basedOn w:val="Normal"/>
    <w:link w:val="FootnoteTextChar"/>
    <w:uiPriority w:val="99"/>
    <w:semiHidden/>
    <w:unhideWhenUsed/>
    <w:rsid w:val="0001156A"/>
    <w:rPr>
      <w:sz w:val="20"/>
      <w:szCs w:val="20"/>
    </w:rPr>
  </w:style>
  <w:style w:type="character" w:customStyle="1" w:styleId="FootnoteTextChar">
    <w:name w:val="Footnote Text Char"/>
    <w:basedOn w:val="DefaultParagraphFont"/>
    <w:link w:val="FootnoteText"/>
    <w:uiPriority w:val="99"/>
    <w:semiHidden/>
    <w:rsid w:val="0001156A"/>
    <w:rPr>
      <w:rFonts w:eastAsia="Times New Roman"/>
      <w:kern w:val="0"/>
      <w:sz w:val="20"/>
      <w:szCs w:val="20"/>
    </w:rPr>
  </w:style>
  <w:style w:type="character" w:styleId="FootnoteReference">
    <w:name w:val="footnote reference"/>
    <w:basedOn w:val="DefaultParagraphFont"/>
    <w:uiPriority w:val="99"/>
    <w:semiHidden/>
    <w:unhideWhenUsed/>
    <w:rsid w:val="0001156A"/>
    <w:rPr>
      <w:vertAlign w:val="superscript"/>
    </w:rPr>
  </w:style>
  <w:style w:type="paragraph" w:styleId="BodyTextIndent">
    <w:name w:val="Body Text Indent"/>
    <w:basedOn w:val="Normal"/>
    <w:link w:val="BodyTextIndentChar"/>
    <w:rsid w:val="00032986"/>
    <w:pPr>
      <w:spacing w:after="120"/>
      <w:ind w:left="360"/>
    </w:pPr>
  </w:style>
  <w:style w:type="character" w:customStyle="1" w:styleId="BodyTextIndentChar">
    <w:name w:val="Body Text Indent Char"/>
    <w:basedOn w:val="DefaultParagraphFont"/>
    <w:link w:val="BodyTextIndent"/>
    <w:rsid w:val="00032986"/>
    <w:rPr>
      <w:rFonts w:eastAsia="Times New Roman"/>
      <w:kern w:val="0"/>
      <w:sz w:val="28"/>
      <w:szCs w:val="28"/>
    </w:rPr>
  </w:style>
  <w:style w:type="character" w:styleId="Hyperlink">
    <w:name w:val="Hyperlink"/>
    <w:basedOn w:val="DefaultParagraphFont"/>
    <w:uiPriority w:val="99"/>
    <w:unhideWhenUsed/>
    <w:rsid w:val="004C48C8"/>
    <w:rPr>
      <w:color w:val="0563C1" w:themeColor="hyperlink"/>
      <w:u w:val="single"/>
    </w:rPr>
  </w:style>
  <w:style w:type="character" w:customStyle="1" w:styleId="UnresolvedMention1">
    <w:name w:val="Unresolved Mention1"/>
    <w:basedOn w:val="DefaultParagraphFont"/>
    <w:uiPriority w:val="99"/>
    <w:semiHidden/>
    <w:unhideWhenUsed/>
    <w:rsid w:val="004C48C8"/>
    <w:rPr>
      <w:color w:val="605E5C"/>
      <w:shd w:val="clear" w:color="auto" w:fill="E1DFDD"/>
    </w:rPr>
  </w:style>
  <w:style w:type="paragraph" w:styleId="Revision">
    <w:name w:val="Revision"/>
    <w:hidden/>
    <w:uiPriority w:val="99"/>
    <w:semiHidden/>
    <w:rsid w:val="00526163"/>
    <w:pPr>
      <w:spacing w:after="0" w:line="240" w:lineRule="auto"/>
    </w:pPr>
    <w:rPr>
      <w:rFonts w:eastAsia="Times New Roman"/>
      <w:kern w:val="0"/>
      <w:sz w:val="28"/>
      <w:szCs w:val="28"/>
    </w:rPr>
  </w:style>
  <w:style w:type="character" w:styleId="CommentReference">
    <w:name w:val="annotation reference"/>
    <w:basedOn w:val="DefaultParagraphFont"/>
    <w:uiPriority w:val="99"/>
    <w:semiHidden/>
    <w:unhideWhenUsed/>
    <w:rsid w:val="00D22A58"/>
    <w:rPr>
      <w:sz w:val="16"/>
      <w:szCs w:val="16"/>
    </w:rPr>
  </w:style>
  <w:style w:type="paragraph" w:styleId="CommentText">
    <w:name w:val="annotation text"/>
    <w:basedOn w:val="Normal"/>
    <w:link w:val="CommentTextChar"/>
    <w:uiPriority w:val="99"/>
    <w:unhideWhenUsed/>
    <w:rsid w:val="00D22A58"/>
    <w:rPr>
      <w:sz w:val="20"/>
      <w:szCs w:val="20"/>
    </w:rPr>
  </w:style>
  <w:style w:type="character" w:customStyle="1" w:styleId="CommentTextChar">
    <w:name w:val="Comment Text Char"/>
    <w:basedOn w:val="DefaultParagraphFont"/>
    <w:link w:val="CommentText"/>
    <w:uiPriority w:val="99"/>
    <w:rsid w:val="00D22A58"/>
    <w:rPr>
      <w:rFonts w:eastAsia="Times New Roman"/>
      <w:kern w:val="0"/>
      <w:sz w:val="20"/>
      <w:szCs w:val="20"/>
    </w:rPr>
  </w:style>
  <w:style w:type="paragraph" w:styleId="CommentSubject">
    <w:name w:val="annotation subject"/>
    <w:basedOn w:val="CommentText"/>
    <w:next w:val="CommentText"/>
    <w:link w:val="CommentSubjectChar"/>
    <w:uiPriority w:val="99"/>
    <w:semiHidden/>
    <w:unhideWhenUsed/>
    <w:rsid w:val="00D22A58"/>
    <w:rPr>
      <w:b/>
      <w:bCs/>
    </w:rPr>
  </w:style>
  <w:style w:type="character" w:customStyle="1" w:styleId="CommentSubjectChar">
    <w:name w:val="Comment Subject Char"/>
    <w:basedOn w:val="CommentTextChar"/>
    <w:link w:val="CommentSubject"/>
    <w:uiPriority w:val="99"/>
    <w:semiHidden/>
    <w:rsid w:val="00D22A58"/>
    <w:rPr>
      <w:rFonts w:eastAsia="Times New Roman"/>
      <w:b/>
      <w:bCs/>
      <w:kern w:val="0"/>
      <w:sz w:val="20"/>
      <w:szCs w:val="20"/>
    </w:rPr>
  </w:style>
  <w:style w:type="paragraph" w:styleId="Header">
    <w:name w:val="header"/>
    <w:basedOn w:val="Normal"/>
    <w:link w:val="HeaderChar"/>
    <w:uiPriority w:val="99"/>
    <w:unhideWhenUsed/>
    <w:rsid w:val="008C7A5F"/>
    <w:pPr>
      <w:tabs>
        <w:tab w:val="center" w:pos="4680"/>
        <w:tab w:val="right" w:pos="9360"/>
      </w:tabs>
    </w:pPr>
  </w:style>
  <w:style w:type="character" w:customStyle="1" w:styleId="HeaderChar">
    <w:name w:val="Header Char"/>
    <w:basedOn w:val="DefaultParagraphFont"/>
    <w:link w:val="Header"/>
    <w:uiPriority w:val="99"/>
    <w:rsid w:val="008C7A5F"/>
    <w:rPr>
      <w:rFonts w:eastAsia="Times New Roman"/>
      <w:kern w:val="0"/>
      <w:sz w:val="28"/>
      <w:szCs w:val="28"/>
    </w:rPr>
  </w:style>
  <w:style w:type="paragraph" w:styleId="Footer">
    <w:name w:val="footer"/>
    <w:basedOn w:val="Normal"/>
    <w:link w:val="FooterChar"/>
    <w:uiPriority w:val="99"/>
    <w:unhideWhenUsed/>
    <w:rsid w:val="008C7A5F"/>
    <w:pPr>
      <w:tabs>
        <w:tab w:val="center" w:pos="4680"/>
        <w:tab w:val="right" w:pos="9360"/>
      </w:tabs>
    </w:pPr>
  </w:style>
  <w:style w:type="character" w:customStyle="1" w:styleId="FooterChar">
    <w:name w:val="Footer Char"/>
    <w:basedOn w:val="DefaultParagraphFont"/>
    <w:link w:val="Footer"/>
    <w:uiPriority w:val="99"/>
    <w:rsid w:val="008C7A5F"/>
    <w:rPr>
      <w:rFonts w:eastAsia="Times New Roman"/>
      <w:kern w:val="0"/>
      <w:sz w:val="28"/>
      <w:szCs w:val="28"/>
    </w:rPr>
  </w:style>
  <w:style w:type="paragraph" w:styleId="BalloonText">
    <w:name w:val="Balloon Text"/>
    <w:basedOn w:val="Normal"/>
    <w:link w:val="BalloonTextChar"/>
    <w:uiPriority w:val="99"/>
    <w:semiHidden/>
    <w:unhideWhenUsed/>
    <w:rsid w:val="003771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15D"/>
    <w:rPr>
      <w:rFonts w:ascii="Segoe UI" w:eastAsia="Times New Roman" w:hAnsi="Segoe UI" w:cs="Segoe UI"/>
      <w:kern w:val="0"/>
      <w:sz w:val="18"/>
      <w:szCs w:val="18"/>
    </w:rPr>
  </w:style>
  <w:style w:type="character" w:customStyle="1" w:styleId="fontstyle01">
    <w:name w:val="fontstyle01"/>
    <w:basedOn w:val="DefaultParagraphFont"/>
    <w:rsid w:val="00B17F74"/>
    <w:rPr>
      <w:rFonts w:ascii="TimesNewRomanPSMT" w:hAnsi="TimesNewRomanPSMT" w:hint="default"/>
      <w:b w:val="0"/>
      <w:bCs w:val="0"/>
      <w:i w:val="0"/>
      <w:iCs w:val="0"/>
      <w:color w:val="000000"/>
      <w:sz w:val="28"/>
      <w:szCs w:val="28"/>
    </w:rPr>
  </w:style>
  <w:style w:type="paragraph" w:styleId="NormalWeb">
    <w:name w:val="Normal (Web)"/>
    <w:basedOn w:val="Normal"/>
    <w:uiPriority w:val="99"/>
    <w:semiHidden/>
    <w:unhideWhenUsed/>
    <w:rsid w:val="007D275B"/>
    <w:rPr>
      <w:sz w:val="24"/>
      <w:szCs w:val="24"/>
    </w:rPr>
  </w:style>
  <w:style w:type="character" w:customStyle="1" w:styleId="Bodytext">
    <w:name w:val="Body text_"/>
    <w:basedOn w:val="DefaultParagraphFont"/>
    <w:link w:val="BodyText1"/>
    <w:rsid w:val="0029288F"/>
    <w:rPr>
      <w:rFonts w:eastAsia="Times New Roman"/>
      <w:spacing w:val="3"/>
      <w:sz w:val="23"/>
      <w:szCs w:val="23"/>
      <w:shd w:val="clear" w:color="auto" w:fill="FFFFFF"/>
    </w:rPr>
  </w:style>
  <w:style w:type="paragraph" w:customStyle="1" w:styleId="BodyText1">
    <w:name w:val="Body Text1"/>
    <w:basedOn w:val="Normal"/>
    <w:link w:val="Bodytext"/>
    <w:rsid w:val="0029288F"/>
    <w:pPr>
      <w:widowControl w:val="0"/>
      <w:shd w:val="clear" w:color="auto" w:fill="FFFFFF"/>
      <w:spacing w:before="180" w:after="240" w:line="0" w:lineRule="atLeast"/>
      <w:jc w:val="center"/>
    </w:pPr>
    <w:rPr>
      <w:spacing w:val="3"/>
      <w:kern w:val="2"/>
      <w:sz w:val="23"/>
      <w:szCs w:val="23"/>
    </w:rPr>
  </w:style>
  <w:style w:type="character" w:customStyle="1" w:styleId="UnresolvedMention2">
    <w:name w:val="Unresolved Mention2"/>
    <w:basedOn w:val="DefaultParagraphFont"/>
    <w:uiPriority w:val="99"/>
    <w:semiHidden/>
    <w:unhideWhenUsed/>
    <w:rsid w:val="007950F8"/>
    <w:rPr>
      <w:color w:val="605E5C"/>
      <w:shd w:val="clear" w:color="auto" w:fill="E1DFDD"/>
    </w:rPr>
  </w:style>
  <w:style w:type="paragraph" w:styleId="HTMLPreformatted">
    <w:name w:val="HTML Preformatted"/>
    <w:basedOn w:val="Normal"/>
    <w:link w:val="HTMLPreformattedChar"/>
    <w:uiPriority w:val="99"/>
    <w:semiHidden/>
    <w:unhideWhenUsed/>
    <w:rsid w:val="00131A4D"/>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31A4D"/>
    <w:rPr>
      <w:rFonts w:ascii="Consolas" w:eastAsia="Times New Roman" w:hAnsi="Consola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984647">
      <w:bodyDiv w:val="1"/>
      <w:marLeft w:val="0"/>
      <w:marRight w:val="0"/>
      <w:marTop w:val="0"/>
      <w:marBottom w:val="0"/>
      <w:divBdr>
        <w:top w:val="none" w:sz="0" w:space="0" w:color="auto"/>
        <w:left w:val="none" w:sz="0" w:space="0" w:color="auto"/>
        <w:bottom w:val="none" w:sz="0" w:space="0" w:color="auto"/>
        <w:right w:val="none" w:sz="0" w:space="0" w:color="auto"/>
      </w:divBdr>
    </w:div>
    <w:div w:id="1053508630">
      <w:bodyDiv w:val="1"/>
      <w:marLeft w:val="0"/>
      <w:marRight w:val="0"/>
      <w:marTop w:val="0"/>
      <w:marBottom w:val="0"/>
      <w:divBdr>
        <w:top w:val="none" w:sz="0" w:space="0" w:color="auto"/>
        <w:left w:val="none" w:sz="0" w:space="0" w:color="auto"/>
        <w:bottom w:val="none" w:sz="0" w:space="0" w:color="auto"/>
        <w:right w:val="none" w:sz="0" w:space="0" w:color="auto"/>
      </w:divBdr>
    </w:div>
    <w:div w:id="1579048138">
      <w:bodyDiv w:val="1"/>
      <w:marLeft w:val="0"/>
      <w:marRight w:val="0"/>
      <w:marTop w:val="0"/>
      <w:marBottom w:val="0"/>
      <w:divBdr>
        <w:top w:val="none" w:sz="0" w:space="0" w:color="auto"/>
        <w:left w:val="none" w:sz="0" w:space="0" w:color="auto"/>
        <w:bottom w:val="none" w:sz="0" w:space="0" w:color="auto"/>
        <w:right w:val="none" w:sz="0" w:space="0" w:color="auto"/>
      </w:divBdr>
    </w:div>
    <w:div w:id="1929149585">
      <w:bodyDiv w:val="1"/>
      <w:marLeft w:val="0"/>
      <w:marRight w:val="0"/>
      <w:marTop w:val="0"/>
      <w:marBottom w:val="0"/>
      <w:divBdr>
        <w:top w:val="none" w:sz="0" w:space="0" w:color="auto"/>
        <w:left w:val="none" w:sz="0" w:space="0" w:color="auto"/>
        <w:bottom w:val="none" w:sz="0" w:space="0" w:color="auto"/>
        <w:right w:val="none" w:sz="0" w:space="0" w:color="auto"/>
      </w:divBdr>
    </w:div>
    <w:div w:id="197768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C4%90%E1%BB%91i+t%C3%A1c+chi%E1%BA%BFn+l%C6%B0%E1%BB%A3c+to%C3%A0n+di%E1%BB%87n&amp;oq=vi%E1%BB%87t+nam+thi%E1%BA%BFt+l%E1%BA%ADp+quan+h%E1%BB%87+%C4%91%E1%BB%91i+t%C3%A1c+chi%E1%BA%BF&amp;gs_lcrp=EgZjaHJvbWUqBwgBEAAYgAQyBggAEEUYOTIHCAEQABiABDIHCAIQABiABDIHCAMQABiABDIHCAQQABiABDIHCAUQABiABDIHCAYQABjvBTIKCAcQABiABBiiBNIBCTIwMzA5ajBqNKgCALACAQ&amp;sourceid=chrome&amp;ie=UTF-8&amp;ved=2ahUKEwj2xOCQ2faSAxWWsFYBHQe2BkkQgK4QegYIAQgA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vneconomy.vn/bon-bo-nganh-ban-cach-dua-viet-nam-ra-khoi-danh-sach-xam-cua-fatf.htm" TargetMode="External"/><Relationship Id="rId3" Type="http://schemas.openxmlformats.org/officeDocument/2006/relationships/hyperlink" Target="https://moh.gov.vn" TargetMode="External"/><Relationship Id="rId7" Type="http://schemas.openxmlformats.org/officeDocument/2006/relationships/hyperlink" Target="https://mst.gov.vn/nam-2023-nguoi-dan-viet-nam-bi-lua-dao-truc-tuyen-khoang-8000-10000-ty-dong-197240627151433701.htm" TargetMode="External"/><Relationship Id="rId2" Type="http://schemas.openxmlformats.org/officeDocument/2006/relationships/hyperlink" Target="https://moh.gov.vn" TargetMode="External"/><Relationship Id="rId1" Type="http://schemas.openxmlformats.org/officeDocument/2006/relationships/hyperlink" Target="https://vtv.vn/nganh-hoc-nao-co-so-luong-sinh-vien-dong-nhat-nam-hoc-2024-2025-100250924110159154.htm?utm_source=chatgpt.com" TargetMode="External"/><Relationship Id="rId6" Type="http://schemas.openxmlformats.org/officeDocument/2006/relationships/hyperlink" Target="https://www.ilo.org/sites/default/files/2025" TargetMode="External"/><Relationship Id="rId11" Type="http://schemas.openxmlformats.org/officeDocument/2006/relationships/hyperlink" Target="https://btgcp.gov.vn/pages/detail/9845/Cong-tac-ton-giao-o-Viet-Nam---Tham-luan-cua-Pho-Truong-ban-BTGCP-Tran-Thi-Minh-Nga-tai-Hoi-nghi-Thuong-dinh-Phat-giao-Viet" TargetMode="External"/><Relationship Id="rId5" Type="http://schemas.openxmlformats.org/officeDocument/2006/relationships/hyperlink" Target="https://en.vietnamplus.vn/vietnam-achieves-record-fdi-disbursement-in-2024" TargetMode="External"/><Relationship Id="rId10" Type="http://schemas.openxmlformats.org/officeDocument/2006/relationships/hyperlink" Target="https://trungtamwto.vn/thi-truong-duc/22719-viet-nam-xep-thu-3-trong-top-tham-hut-thuong-mai-cua-my" TargetMode="External"/><Relationship Id="rId4" Type="http://schemas.openxmlformats.org/officeDocument/2006/relationships/hyperlink" Target="https://mic.gov.vn" TargetMode="External"/><Relationship Id="rId9" Type="http://schemas.openxmlformats.org/officeDocument/2006/relationships/hyperlink" Target="https://eves.com.vn/media/qybdw5cp/828-qcompresse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0CD2E-4503-4327-9A5B-3659592F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7229</TotalTime>
  <Pages>106</Pages>
  <Words>40681</Words>
  <Characters>231882</Characters>
  <Application>Microsoft Office Word</Application>
  <DocSecurity>0</DocSecurity>
  <Lines>1932</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 Inc</dc:creator>
  <cp:keywords/>
  <dc:description/>
  <cp:lastModifiedBy>VMC-Test</cp:lastModifiedBy>
  <cp:revision>687</cp:revision>
  <cp:lastPrinted>2026-03-23T06:21:00Z</cp:lastPrinted>
  <dcterms:created xsi:type="dcterms:W3CDTF">2024-10-10T17:36:00Z</dcterms:created>
  <dcterms:modified xsi:type="dcterms:W3CDTF">2026-03-23T06:23:00Z</dcterms:modified>
</cp:coreProperties>
</file>